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682E91C7" w:rsidR="00F72F4F" w:rsidRDefault="00510297" w:rsidP="00F72F4F">
      <w:pPr>
        <w:pStyle w:val="CH"/>
      </w:pPr>
      <w:bookmarkStart w:id="0" w:name="historyclause"/>
      <w:r w:rsidRPr="006073EA">
        <w:t>3GPP RAN WG</w:t>
      </w:r>
      <w:r>
        <w:t>4</w:t>
      </w:r>
      <w:r w:rsidRPr="006073EA">
        <w:t xml:space="preserve"> Meeting #</w:t>
      </w:r>
      <w:r>
        <w:t>1</w:t>
      </w:r>
      <w:r w:rsidR="00CC3FFD">
        <w:t>1</w:t>
      </w:r>
      <w:r w:rsidR="00AA54E5">
        <w:t>5</w:t>
      </w:r>
      <w:r w:rsidR="00F72F4F">
        <w:tab/>
      </w:r>
      <w:r w:rsidR="00F72F4F">
        <w:tab/>
      </w:r>
      <w:r w:rsidR="009662B3" w:rsidRPr="009662B3">
        <w:t>R4-2505453</w:t>
      </w:r>
    </w:p>
    <w:p w14:paraId="4A8CACC6" w14:textId="4ACD0453" w:rsidR="00F72F4F" w:rsidRPr="00FD166F" w:rsidRDefault="00AA54E5" w:rsidP="00F72F4F">
      <w:pPr>
        <w:pStyle w:val="CH"/>
        <w:tabs>
          <w:tab w:val="clear" w:pos="7920"/>
        </w:tabs>
        <w:rPr>
          <w:b w:val="0"/>
        </w:rPr>
      </w:pPr>
      <w:r>
        <w:t>Malta</w:t>
      </w:r>
      <w:r w:rsidR="00727A5D">
        <w:t xml:space="preserve">, </w:t>
      </w:r>
      <w:r>
        <w:t>May</w:t>
      </w:r>
      <w:r w:rsidR="00727A5D" w:rsidRPr="00A14D3F">
        <w:t xml:space="preserve"> </w:t>
      </w:r>
      <w:r>
        <w:t>19</w:t>
      </w:r>
      <w:r w:rsidR="00727A5D">
        <w:rPr>
          <w:vertAlign w:val="superscript"/>
        </w:rPr>
        <w:t>th</w:t>
      </w:r>
      <w:r w:rsidR="00727A5D" w:rsidRPr="00A14D3F">
        <w:t xml:space="preserve"> – </w:t>
      </w:r>
      <w:r>
        <w:t>23</w:t>
      </w:r>
      <w:r>
        <w:rPr>
          <w:vertAlign w:val="superscript"/>
        </w:rPr>
        <w:t>rd</w:t>
      </w:r>
      <w:r w:rsidR="00727A5D" w:rsidRPr="00A14D3F">
        <w:t>, 202</w:t>
      </w:r>
      <w:r w:rsidR="00ED6851">
        <w:t>5</w:t>
      </w:r>
    </w:p>
    <w:p w14:paraId="39A0EE25" w14:textId="77777777" w:rsidR="00D309CC" w:rsidRDefault="00D309CC" w:rsidP="00D309CC">
      <w:pPr>
        <w:tabs>
          <w:tab w:val="left" w:pos="2160"/>
        </w:tabs>
        <w:rPr>
          <w:rFonts w:ascii="Arial" w:hAnsi="Arial" w:cs="Arial"/>
          <w:b/>
        </w:rPr>
      </w:pPr>
    </w:p>
    <w:p w14:paraId="6DDCE159" w14:textId="4694D169" w:rsidR="00D309CC" w:rsidRPr="004D7D9D" w:rsidRDefault="00D309CC" w:rsidP="00D309CC">
      <w:pPr>
        <w:pStyle w:val="CH"/>
        <w:rPr>
          <w:b w:val="0"/>
          <w:bCs/>
        </w:rPr>
      </w:pPr>
      <w:r w:rsidRPr="0008103A">
        <w:t>Agenda item:</w:t>
      </w:r>
      <w:r>
        <w:tab/>
      </w:r>
      <w:r w:rsidR="00CD561D">
        <w:t>7.1.</w:t>
      </w:r>
      <w:r w:rsidR="00AA54E5">
        <w:t>2</w:t>
      </w:r>
      <w:r w:rsidR="00CD561D">
        <w:t>.1.2</w:t>
      </w:r>
    </w:p>
    <w:p w14:paraId="4DBE005A" w14:textId="4DFA2DBD" w:rsidR="00D309CC" w:rsidRPr="0008103A" w:rsidRDefault="00D309CC" w:rsidP="00D309CC">
      <w:pPr>
        <w:pStyle w:val="CH"/>
        <w:rPr>
          <w:b w:val="0"/>
        </w:rPr>
      </w:pPr>
      <w:r>
        <w:t>Source:</w:t>
      </w:r>
      <w:r>
        <w:tab/>
        <w:t>Apple</w:t>
      </w:r>
    </w:p>
    <w:p w14:paraId="0D2061A1" w14:textId="4C70B870" w:rsidR="00D309CC" w:rsidRDefault="00D309CC" w:rsidP="00D6592A">
      <w:pPr>
        <w:pStyle w:val="CH"/>
        <w:ind w:left="2275" w:hanging="2275"/>
      </w:pPr>
      <w:r w:rsidRPr="0008103A">
        <w:t>Title:</w:t>
      </w:r>
      <w:r w:rsidRPr="0008103A">
        <w:tab/>
      </w:r>
      <w:r w:rsidR="00AA54E5" w:rsidRPr="00AA54E5">
        <w:t xml:space="preserve">On PC1.5 intra-band </w:t>
      </w:r>
      <w:r w:rsidR="00F7167D">
        <w:t>NC</w:t>
      </w:r>
      <w:r w:rsidR="00AA54E5" w:rsidRPr="00AA54E5">
        <w:t xml:space="preserve"> UL CA MPR</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6E92CC7" w14:textId="2905AC3B" w:rsidR="008E7986" w:rsidRPr="002B20B0" w:rsidRDefault="00620C82" w:rsidP="00A117D6">
      <w:pPr>
        <w:spacing w:after="120"/>
        <w:jc w:val="both"/>
        <w:rPr>
          <w:rFonts w:ascii="Arial" w:hAnsi="Arial" w:cs="Arial"/>
          <w:sz w:val="20"/>
          <w:szCs w:val="20"/>
        </w:rPr>
      </w:pPr>
      <w:r>
        <w:rPr>
          <w:rFonts w:ascii="Arial" w:hAnsi="Arial" w:cs="Arial"/>
          <w:sz w:val="20"/>
          <w:szCs w:val="20"/>
        </w:rPr>
        <w:t>In last RAN4 meeting</w:t>
      </w:r>
      <w:r w:rsidR="008C364B">
        <w:rPr>
          <w:rFonts w:ascii="Arial" w:hAnsi="Arial" w:cs="Arial"/>
          <w:sz w:val="20"/>
          <w:szCs w:val="20"/>
        </w:rPr>
        <w:t xml:space="preserve"> (#114bis)</w:t>
      </w:r>
      <w:r>
        <w:rPr>
          <w:rFonts w:ascii="Arial" w:hAnsi="Arial" w:cs="Arial"/>
          <w:sz w:val="20"/>
          <w:szCs w:val="20"/>
        </w:rPr>
        <w:t xml:space="preserve">, </w:t>
      </w:r>
      <w:r w:rsidR="008C364B" w:rsidRPr="008C364B">
        <w:rPr>
          <w:rFonts w:ascii="Arial" w:hAnsi="Arial" w:cs="Arial"/>
          <w:sz w:val="20"/>
          <w:szCs w:val="20"/>
        </w:rPr>
        <w:t xml:space="preserve">the MPR values for PC1.5 intra-band contiguous UL CA with contiguous allocations were </w:t>
      </w:r>
      <w:r w:rsidR="008C364B">
        <w:rPr>
          <w:rFonts w:ascii="Arial" w:hAnsi="Arial" w:cs="Arial"/>
          <w:sz w:val="20"/>
          <w:szCs w:val="20"/>
        </w:rPr>
        <w:t xml:space="preserve">generally </w:t>
      </w:r>
      <w:r w:rsidR="008C364B" w:rsidRPr="008C364B">
        <w:rPr>
          <w:rFonts w:ascii="Arial" w:hAnsi="Arial" w:cs="Arial"/>
          <w:sz w:val="20"/>
          <w:szCs w:val="20"/>
        </w:rPr>
        <w:t xml:space="preserve">agreed, while </w:t>
      </w:r>
      <w:r w:rsidR="008C364B">
        <w:rPr>
          <w:rFonts w:ascii="Arial" w:hAnsi="Arial" w:cs="Arial"/>
          <w:sz w:val="20"/>
          <w:szCs w:val="20"/>
        </w:rPr>
        <w:t xml:space="preserve">the </w:t>
      </w:r>
      <w:r w:rsidR="008C364B" w:rsidRPr="008C364B">
        <w:rPr>
          <w:rFonts w:ascii="Arial" w:hAnsi="Arial" w:cs="Arial"/>
          <w:sz w:val="20"/>
          <w:szCs w:val="20"/>
        </w:rPr>
        <w:t>MPR values for non-contiguous allocations were still in square brackets</w:t>
      </w:r>
      <w:r w:rsidR="008C364B">
        <w:rPr>
          <w:rFonts w:ascii="Arial" w:hAnsi="Arial" w:cs="Arial"/>
          <w:sz w:val="20"/>
          <w:szCs w:val="20"/>
        </w:rPr>
        <w:t>, as captured in the approved “</w:t>
      </w:r>
      <w:r w:rsidR="008C364B" w:rsidRPr="008C364B">
        <w:rPr>
          <w:rFonts w:ascii="Arial" w:hAnsi="Arial" w:cs="Arial"/>
          <w:sz w:val="20"/>
          <w:szCs w:val="20"/>
        </w:rPr>
        <w:t>WF on HPUE RF requirements</w:t>
      </w:r>
      <w:r w:rsidR="008C364B">
        <w:rPr>
          <w:rFonts w:ascii="Arial" w:hAnsi="Arial" w:cs="Arial"/>
          <w:sz w:val="20"/>
          <w:szCs w:val="20"/>
        </w:rPr>
        <w:t>” [2]</w:t>
      </w:r>
      <w:r w:rsidR="008C364B" w:rsidRPr="008C364B">
        <w:rPr>
          <w:rFonts w:ascii="Arial" w:hAnsi="Arial" w:cs="Arial"/>
          <w:sz w:val="20"/>
          <w:szCs w:val="20"/>
        </w:rPr>
        <w:t xml:space="preserve">. On the other hand, the MPR values </w:t>
      </w:r>
      <w:r w:rsidR="003910C5">
        <w:rPr>
          <w:rFonts w:ascii="Arial" w:hAnsi="Arial" w:cs="Arial"/>
          <w:sz w:val="20"/>
          <w:szCs w:val="20"/>
        </w:rPr>
        <w:t xml:space="preserve">for </w:t>
      </w:r>
      <w:r w:rsidR="008C364B" w:rsidRPr="008C364B">
        <w:rPr>
          <w:rFonts w:ascii="Arial" w:hAnsi="Arial" w:cs="Arial"/>
          <w:sz w:val="20"/>
          <w:szCs w:val="20"/>
        </w:rPr>
        <w:t xml:space="preserve">PC1.5 intra-band non-contiguous </w:t>
      </w:r>
      <w:r w:rsidR="005D25E0">
        <w:rPr>
          <w:rFonts w:ascii="Arial" w:hAnsi="Arial" w:cs="Arial"/>
          <w:sz w:val="20"/>
          <w:szCs w:val="20"/>
        </w:rPr>
        <w:t xml:space="preserve">(NC) </w:t>
      </w:r>
      <w:r w:rsidR="008C364B" w:rsidRPr="008C364B">
        <w:rPr>
          <w:rFonts w:ascii="Arial" w:hAnsi="Arial" w:cs="Arial"/>
          <w:sz w:val="20"/>
          <w:szCs w:val="20"/>
        </w:rPr>
        <w:t>UL CA have not yet been formerly discussed.</w:t>
      </w:r>
      <w:r w:rsidR="00FF5DD2">
        <w:rPr>
          <w:rFonts w:ascii="Arial" w:hAnsi="Arial" w:cs="Arial"/>
          <w:sz w:val="20"/>
          <w:szCs w:val="20"/>
        </w:rPr>
        <w:t xml:space="preserve"> </w:t>
      </w:r>
      <w:r w:rsidR="002B11CC">
        <w:rPr>
          <w:rFonts w:ascii="Arial" w:hAnsi="Arial" w:cs="Arial"/>
          <w:sz w:val="20"/>
          <w:szCs w:val="20"/>
        </w:rPr>
        <w:t xml:space="preserve">In this contribution, </w:t>
      </w:r>
      <w:r w:rsidR="008C364B">
        <w:rPr>
          <w:rFonts w:ascii="Arial" w:hAnsi="Arial" w:cs="Arial"/>
          <w:sz w:val="20"/>
          <w:szCs w:val="20"/>
        </w:rPr>
        <w:t>w</w:t>
      </w:r>
      <w:r w:rsidR="00A46123">
        <w:rPr>
          <w:rFonts w:ascii="Arial" w:hAnsi="Arial" w:cs="Arial"/>
          <w:sz w:val="20"/>
          <w:szCs w:val="20"/>
        </w:rPr>
        <w:t xml:space="preserve">e </w:t>
      </w:r>
      <w:r w:rsidR="008C364B">
        <w:rPr>
          <w:rFonts w:ascii="Arial" w:hAnsi="Arial" w:cs="Arial"/>
          <w:sz w:val="20"/>
          <w:szCs w:val="20"/>
        </w:rPr>
        <w:t xml:space="preserve">reiterate to </w:t>
      </w:r>
      <w:r w:rsidR="00A46123">
        <w:rPr>
          <w:rFonts w:ascii="Arial" w:hAnsi="Arial" w:cs="Arial"/>
          <w:sz w:val="20"/>
          <w:szCs w:val="20"/>
        </w:rPr>
        <w:t xml:space="preserve">propose </w:t>
      </w:r>
      <w:r w:rsidR="005F6FDC">
        <w:rPr>
          <w:rFonts w:ascii="Arial" w:hAnsi="Arial" w:cs="Arial"/>
          <w:sz w:val="20"/>
          <w:szCs w:val="20"/>
        </w:rPr>
        <w:t xml:space="preserve">that </w:t>
      </w:r>
      <w:r w:rsidR="00A46123">
        <w:rPr>
          <w:rFonts w:ascii="Arial" w:hAnsi="Arial" w:cs="Arial"/>
          <w:sz w:val="20"/>
          <w:szCs w:val="20"/>
        </w:rPr>
        <w:t xml:space="preserve">MPR for </w:t>
      </w:r>
      <w:r w:rsidR="00A46123" w:rsidRPr="00A46123">
        <w:rPr>
          <w:rFonts w:ascii="Arial" w:hAnsi="Arial" w:cs="Arial"/>
          <w:sz w:val="20"/>
          <w:szCs w:val="20"/>
        </w:rPr>
        <w:t>PC1.5 intra-band NC UL CA is 3dB higher than that of PC2 intra-band NC UL CA</w:t>
      </w:r>
      <w:r w:rsidR="00A46123">
        <w:rPr>
          <w:rFonts w:ascii="Arial" w:hAnsi="Arial" w:cs="Arial"/>
          <w:sz w:val="20"/>
          <w:szCs w:val="20"/>
        </w:rPr>
        <w:t xml:space="preserve"> based on our </w:t>
      </w:r>
      <w:r w:rsidR="005F6FDC">
        <w:rPr>
          <w:rFonts w:ascii="Arial" w:hAnsi="Arial" w:cs="Arial"/>
          <w:sz w:val="20"/>
          <w:szCs w:val="20"/>
        </w:rPr>
        <w:t xml:space="preserve">analysis </w:t>
      </w:r>
      <w:r w:rsidR="00D9697F">
        <w:rPr>
          <w:rFonts w:ascii="Arial" w:hAnsi="Arial" w:cs="Arial"/>
          <w:sz w:val="20"/>
          <w:szCs w:val="20"/>
        </w:rPr>
        <w:t>on</w:t>
      </w:r>
      <w:r w:rsidR="005F6FDC">
        <w:rPr>
          <w:rFonts w:ascii="Arial" w:hAnsi="Arial" w:cs="Arial"/>
          <w:sz w:val="20"/>
          <w:szCs w:val="20"/>
        </w:rPr>
        <w:t xml:space="preserve"> RAN4 </w:t>
      </w:r>
      <w:r w:rsidR="00A46123">
        <w:rPr>
          <w:rFonts w:ascii="Arial" w:hAnsi="Arial" w:cs="Arial"/>
          <w:sz w:val="20"/>
          <w:szCs w:val="20"/>
        </w:rPr>
        <w:t>PA configuration assumptions</w:t>
      </w:r>
      <w:r w:rsidR="005F6FDC">
        <w:rPr>
          <w:rFonts w:ascii="Arial" w:hAnsi="Arial" w:cs="Arial"/>
          <w:sz w:val="20"/>
          <w:szCs w:val="20"/>
        </w:rPr>
        <w:t xml:space="preserve"> for </w:t>
      </w:r>
      <w:r w:rsidR="00D9697F">
        <w:rPr>
          <w:rFonts w:ascii="Arial" w:hAnsi="Arial" w:cs="Arial"/>
          <w:sz w:val="20"/>
          <w:szCs w:val="20"/>
        </w:rPr>
        <w:t>MPR evaluations</w:t>
      </w:r>
      <w:r w:rsidR="00D9697F" w:rsidRPr="00FF5DD2">
        <w:rPr>
          <w:rFonts w:ascii="Arial" w:hAnsi="Arial" w:cs="Arial"/>
          <w:sz w:val="20"/>
          <w:szCs w:val="20"/>
        </w:rPr>
        <w:t xml:space="preserve"> </w:t>
      </w:r>
      <w:r w:rsidR="00D9697F">
        <w:rPr>
          <w:rFonts w:ascii="Arial" w:hAnsi="Arial" w:cs="Arial"/>
          <w:sz w:val="20"/>
          <w:szCs w:val="20"/>
        </w:rPr>
        <w:t xml:space="preserve">for </w:t>
      </w:r>
      <w:r w:rsidR="005F6FDC" w:rsidRPr="00FF5DD2">
        <w:rPr>
          <w:rFonts w:ascii="Arial" w:hAnsi="Arial" w:cs="Arial"/>
          <w:sz w:val="20"/>
          <w:szCs w:val="20"/>
        </w:rPr>
        <w:t>PC3, PC2 and PC1.5</w:t>
      </w:r>
      <w:r w:rsidR="005F6FDC">
        <w:rPr>
          <w:rFonts w:ascii="Arial" w:hAnsi="Arial" w:cs="Arial"/>
          <w:sz w:val="20"/>
          <w:szCs w:val="20"/>
        </w:rPr>
        <w:t xml:space="preserve"> intra-band NC UL </w:t>
      </w:r>
      <w:r w:rsidR="00D9697F">
        <w:rPr>
          <w:rFonts w:ascii="Arial" w:hAnsi="Arial" w:cs="Arial"/>
          <w:sz w:val="20"/>
          <w:szCs w:val="20"/>
        </w:rPr>
        <w:t xml:space="preserve">as presented in RAN4 </w:t>
      </w:r>
      <w:r w:rsidR="00147038">
        <w:rPr>
          <w:rFonts w:ascii="Arial" w:hAnsi="Arial" w:cs="Arial"/>
          <w:sz w:val="20"/>
          <w:szCs w:val="20"/>
        </w:rPr>
        <w:t xml:space="preserve">#113 </w:t>
      </w:r>
      <w:r w:rsidR="00D9697F">
        <w:rPr>
          <w:rFonts w:ascii="Arial" w:hAnsi="Arial" w:cs="Arial"/>
          <w:sz w:val="20"/>
          <w:szCs w:val="20"/>
        </w:rPr>
        <w:t>meeting [3]</w:t>
      </w:r>
      <w:r w:rsidR="005F6FDC">
        <w:rPr>
          <w:rFonts w:ascii="Arial" w:hAnsi="Arial" w:cs="Arial"/>
          <w:sz w:val="20"/>
          <w:szCs w:val="20"/>
        </w:rPr>
        <w:t xml:space="preserve">.   </w:t>
      </w:r>
      <w:r w:rsidR="00A46123">
        <w:rPr>
          <w:rFonts w:ascii="Arial" w:hAnsi="Arial" w:cs="Arial"/>
          <w:sz w:val="20"/>
          <w:szCs w:val="20"/>
        </w:rPr>
        <w:t xml:space="preserve"> </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A81F5AB" w14:textId="77777777" w:rsidR="00DA4E3C" w:rsidRDefault="00DA4E3C" w:rsidP="00DA4E3C">
      <w:pPr>
        <w:jc w:val="both"/>
        <w:rPr>
          <w:rFonts w:ascii="Arial" w:hAnsi="Arial" w:cs="Arial"/>
          <w:sz w:val="20"/>
          <w:szCs w:val="20"/>
        </w:rPr>
      </w:pPr>
    </w:p>
    <w:p w14:paraId="3927F576" w14:textId="3AA85358" w:rsidR="003B04E3" w:rsidRDefault="00D340F4" w:rsidP="00582A04">
      <w:pPr>
        <w:spacing w:after="120"/>
        <w:jc w:val="both"/>
        <w:rPr>
          <w:rFonts w:ascii="Arial" w:hAnsi="Arial" w:cs="Arial"/>
          <w:sz w:val="20"/>
          <w:szCs w:val="20"/>
        </w:rPr>
      </w:pPr>
      <w:r>
        <w:rPr>
          <w:rFonts w:ascii="Arial" w:hAnsi="Arial" w:cs="Arial"/>
          <w:sz w:val="20"/>
          <w:szCs w:val="20"/>
        </w:rPr>
        <w:t xml:space="preserve">For PC3 intra-band NC UL CA with </w:t>
      </w:r>
      <w:r w:rsidRPr="009D6EC2">
        <w:rPr>
          <w:rFonts w:ascii="Arial" w:hAnsi="Arial" w:cs="Arial"/>
          <w:i/>
          <w:iCs/>
          <w:sz w:val="20"/>
          <w:szCs w:val="20"/>
        </w:rPr>
        <w:t>dualPA-Architecture</w:t>
      </w:r>
      <w:r>
        <w:rPr>
          <w:rFonts w:ascii="Arial" w:hAnsi="Arial" w:cs="Arial"/>
          <w:sz w:val="20"/>
          <w:szCs w:val="20"/>
        </w:rPr>
        <w:t xml:space="preserve">, it can be </w:t>
      </w:r>
      <w:r w:rsidR="00582A04">
        <w:rPr>
          <w:rFonts w:ascii="Arial" w:hAnsi="Arial" w:cs="Arial"/>
          <w:sz w:val="20"/>
          <w:szCs w:val="20"/>
        </w:rPr>
        <w:t>certain</w:t>
      </w:r>
      <w:r>
        <w:rPr>
          <w:rFonts w:ascii="Arial" w:hAnsi="Arial" w:cs="Arial"/>
          <w:sz w:val="20"/>
          <w:szCs w:val="20"/>
        </w:rPr>
        <w:t xml:space="preserve"> that the MPR requirements had been evaluated based on (PC3 + PC3) PA configuration where each PA would back off by 3 dB under PC3 maximum output power. On the other hand, for PC2 intra-band NC UL CA with </w:t>
      </w:r>
      <w:r w:rsidRPr="009D6EC2">
        <w:rPr>
          <w:rFonts w:ascii="Arial" w:hAnsi="Arial" w:cs="Arial"/>
          <w:i/>
          <w:iCs/>
          <w:sz w:val="20"/>
          <w:szCs w:val="20"/>
        </w:rPr>
        <w:t>dualPA-Architecture</w:t>
      </w:r>
      <w:r>
        <w:rPr>
          <w:rFonts w:ascii="Arial" w:hAnsi="Arial" w:cs="Arial"/>
          <w:sz w:val="20"/>
          <w:szCs w:val="20"/>
        </w:rPr>
        <w:t>, the PA configuration could potentially be (PC3 + PC3), (PC3 + PC2), or (PC2 + PC2). Since (PC3 + PC3) is the PA configuration for PC3 MPR requirements, if the same PA configuration is applied for PC2, we would expect 3dB higher MPR than PC3. However, this is not the case as observed in Table 2-1 where the specified MPR values are quite comparable between PC2 and PC3 [</w:t>
      </w:r>
      <w:r w:rsidR="005D25E0">
        <w:rPr>
          <w:rFonts w:ascii="Arial" w:hAnsi="Arial" w:cs="Arial"/>
          <w:sz w:val="20"/>
          <w:szCs w:val="20"/>
        </w:rPr>
        <w:t>4</w:t>
      </w:r>
      <w:r>
        <w:rPr>
          <w:rFonts w:ascii="Arial" w:hAnsi="Arial" w:cs="Arial"/>
          <w:sz w:val="20"/>
          <w:szCs w:val="20"/>
        </w:rPr>
        <w:t>].</w:t>
      </w:r>
      <w:r w:rsidR="005D25E0">
        <w:rPr>
          <w:rFonts w:ascii="Arial" w:hAnsi="Arial" w:cs="Arial"/>
          <w:sz w:val="20"/>
          <w:szCs w:val="20"/>
        </w:rPr>
        <w:t xml:space="preserve"> Therefore, </w:t>
      </w:r>
      <w:r w:rsidR="001124DC">
        <w:rPr>
          <w:rFonts w:ascii="Arial" w:hAnsi="Arial" w:cs="Arial"/>
          <w:sz w:val="20"/>
          <w:szCs w:val="20"/>
        </w:rPr>
        <w:t xml:space="preserve">it </w:t>
      </w:r>
      <w:r w:rsidR="005D25E0">
        <w:rPr>
          <w:rFonts w:ascii="Arial" w:hAnsi="Arial" w:cs="Arial"/>
          <w:sz w:val="20"/>
          <w:szCs w:val="20"/>
        </w:rPr>
        <w:t xml:space="preserve">can </w:t>
      </w:r>
      <w:r w:rsidR="001124DC">
        <w:rPr>
          <w:rFonts w:ascii="Arial" w:hAnsi="Arial" w:cs="Arial"/>
          <w:sz w:val="20"/>
          <w:szCs w:val="20"/>
        </w:rPr>
        <w:t xml:space="preserve">be </w:t>
      </w:r>
      <w:r w:rsidR="005D25E0">
        <w:rPr>
          <w:rFonts w:ascii="Arial" w:hAnsi="Arial" w:cs="Arial"/>
          <w:sz w:val="20"/>
          <w:szCs w:val="20"/>
        </w:rPr>
        <w:t>conclude</w:t>
      </w:r>
      <w:r w:rsidR="001124DC">
        <w:rPr>
          <w:rFonts w:ascii="Arial" w:hAnsi="Arial" w:cs="Arial"/>
          <w:sz w:val="20"/>
          <w:szCs w:val="20"/>
        </w:rPr>
        <w:t>d</w:t>
      </w:r>
      <w:r w:rsidR="005D25E0">
        <w:rPr>
          <w:rFonts w:ascii="Arial" w:hAnsi="Arial" w:cs="Arial"/>
          <w:sz w:val="20"/>
          <w:szCs w:val="20"/>
        </w:rPr>
        <w:t xml:space="preserve"> that </w:t>
      </w:r>
      <w:r w:rsidR="005F73F0">
        <w:rPr>
          <w:rFonts w:ascii="Arial" w:hAnsi="Arial" w:cs="Arial"/>
          <w:sz w:val="20"/>
          <w:szCs w:val="20"/>
        </w:rPr>
        <w:t>(PC3 + PC3) cannot be the PA configuration</w:t>
      </w:r>
      <w:r w:rsidR="001124DC">
        <w:rPr>
          <w:rFonts w:ascii="Arial" w:hAnsi="Arial" w:cs="Arial"/>
          <w:sz w:val="20"/>
          <w:szCs w:val="20"/>
        </w:rPr>
        <w:t xml:space="preserve"> for PC2 intra-band NC UL CA with </w:t>
      </w:r>
      <w:r w:rsidR="001124DC" w:rsidRPr="009D6EC2">
        <w:rPr>
          <w:rFonts w:ascii="Arial" w:hAnsi="Arial" w:cs="Arial"/>
          <w:i/>
          <w:iCs/>
          <w:sz w:val="20"/>
          <w:szCs w:val="20"/>
        </w:rPr>
        <w:t>dualPA-Architecture</w:t>
      </w:r>
      <w:r w:rsidR="001124DC">
        <w:rPr>
          <w:rFonts w:ascii="Arial" w:hAnsi="Arial" w:cs="Arial"/>
          <w:sz w:val="20"/>
          <w:szCs w:val="20"/>
        </w:rPr>
        <w:t>.</w:t>
      </w:r>
      <w:r w:rsidR="005F73F0">
        <w:rPr>
          <w:rFonts w:ascii="Arial" w:hAnsi="Arial" w:cs="Arial"/>
          <w:sz w:val="20"/>
          <w:szCs w:val="20"/>
        </w:rPr>
        <w:t xml:space="preserve"> </w:t>
      </w:r>
    </w:p>
    <w:p w14:paraId="3A1C5E93" w14:textId="77777777" w:rsidR="005D25E0" w:rsidRPr="005D25E0" w:rsidRDefault="005D25E0" w:rsidP="005D25E0">
      <w:pPr>
        <w:jc w:val="both"/>
        <w:rPr>
          <w:rFonts w:ascii="Arial" w:hAnsi="Arial" w:cs="Arial"/>
          <w:bCs/>
          <w:sz w:val="20"/>
          <w:szCs w:val="20"/>
        </w:rPr>
      </w:pPr>
    </w:p>
    <w:p w14:paraId="20A6E25F" w14:textId="08C8365E" w:rsidR="005D25E0" w:rsidRDefault="005D25E0" w:rsidP="005D25E0">
      <w:pPr>
        <w:spacing w:after="120"/>
        <w:jc w:val="both"/>
        <w:rPr>
          <w:rFonts w:ascii="Arial" w:hAnsi="Arial" w:cs="Arial"/>
          <w:sz w:val="20"/>
          <w:szCs w:val="20"/>
        </w:rPr>
      </w:pPr>
      <w:r w:rsidRPr="009C58C3">
        <w:rPr>
          <w:rFonts w:ascii="Arial" w:hAnsi="Arial" w:cs="Arial"/>
          <w:b/>
          <w:i/>
          <w:iCs/>
          <w:sz w:val="20"/>
          <w:szCs w:val="20"/>
        </w:rPr>
        <w:t xml:space="preserve">Observation </w:t>
      </w:r>
      <w:r>
        <w:rPr>
          <w:rFonts w:ascii="Arial" w:hAnsi="Arial" w:cs="Arial"/>
          <w:b/>
          <w:i/>
          <w:iCs/>
          <w:sz w:val="20"/>
          <w:szCs w:val="20"/>
        </w:rPr>
        <w:t>1</w:t>
      </w:r>
      <w:r w:rsidRPr="009C58C3">
        <w:rPr>
          <w:rFonts w:ascii="Arial" w:hAnsi="Arial" w:cs="Arial"/>
          <w:bCs/>
          <w:i/>
          <w:iCs/>
          <w:sz w:val="20"/>
          <w:szCs w:val="20"/>
        </w:rPr>
        <w:t xml:space="preserve">: </w:t>
      </w:r>
      <w:r w:rsidRPr="00802CC2">
        <w:rPr>
          <w:rFonts w:ascii="Arial" w:hAnsi="Arial" w:cs="Arial"/>
          <w:bCs/>
          <w:i/>
          <w:iCs/>
          <w:sz w:val="20"/>
          <w:szCs w:val="20"/>
        </w:rPr>
        <w:t xml:space="preserve">For PC3 intra-band </w:t>
      </w:r>
      <w:r>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MPR has been specified based on (PC3 + PC3) PA configuration. </w:t>
      </w:r>
    </w:p>
    <w:p w14:paraId="3D471920" w14:textId="77777777" w:rsidR="005D25E0" w:rsidRDefault="005D25E0" w:rsidP="005D25E0">
      <w:pPr>
        <w:jc w:val="both"/>
        <w:rPr>
          <w:rFonts w:ascii="Arial" w:hAnsi="Arial" w:cs="Arial"/>
          <w:sz w:val="20"/>
          <w:szCs w:val="20"/>
        </w:rPr>
      </w:pPr>
    </w:p>
    <w:p w14:paraId="53CF359C" w14:textId="4AC164B0" w:rsidR="005D25E0" w:rsidRDefault="005D25E0" w:rsidP="00582A04">
      <w:pPr>
        <w:spacing w:after="120"/>
        <w:jc w:val="both"/>
        <w:rPr>
          <w:rFonts w:ascii="Arial" w:hAnsi="Arial" w:cs="Arial"/>
          <w:sz w:val="20"/>
          <w:szCs w:val="20"/>
        </w:rPr>
      </w:pPr>
      <w:r w:rsidRPr="009C58C3">
        <w:rPr>
          <w:rFonts w:ascii="Arial" w:hAnsi="Arial" w:cs="Arial"/>
          <w:b/>
          <w:i/>
          <w:iCs/>
          <w:sz w:val="20"/>
          <w:szCs w:val="20"/>
        </w:rPr>
        <w:t xml:space="preserve">Observation </w:t>
      </w:r>
      <w:r>
        <w:rPr>
          <w:rFonts w:ascii="Arial" w:hAnsi="Arial" w:cs="Arial"/>
          <w:b/>
          <w:i/>
          <w:iCs/>
          <w:sz w:val="20"/>
          <w:szCs w:val="20"/>
        </w:rPr>
        <w:t>2</w:t>
      </w:r>
      <w:r w:rsidRPr="009C58C3">
        <w:rPr>
          <w:rFonts w:ascii="Arial" w:hAnsi="Arial" w:cs="Arial"/>
          <w:bCs/>
          <w:i/>
          <w:iCs/>
          <w:sz w:val="20"/>
          <w:szCs w:val="20"/>
        </w:rPr>
        <w:t xml:space="preserve">: </w:t>
      </w:r>
      <w:r>
        <w:rPr>
          <w:rFonts w:ascii="Arial" w:hAnsi="Arial" w:cs="Arial"/>
          <w:bCs/>
          <w:i/>
          <w:iCs/>
          <w:sz w:val="20"/>
          <w:szCs w:val="20"/>
        </w:rPr>
        <w:t>F</w:t>
      </w:r>
      <w:r w:rsidRPr="00802CC2">
        <w:rPr>
          <w:rFonts w:ascii="Arial" w:hAnsi="Arial" w:cs="Arial"/>
          <w:bCs/>
          <w:i/>
          <w:iCs/>
          <w:sz w:val="20"/>
          <w:szCs w:val="20"/>
        </w:rPr>
        <w:t xml:space="preserve">or PC2 intra-band </w:t>
      </w:r>
      <w:r>
        <w:rPr>
          <w:rFonts w:ascii="Arial" w:hAnsi="Arial" w:cs="Arial"/>
          <w:bCs/>
          <w:i/>
          <w:iCs/>
          <w:sz w:val="20"/>
          <w:szCs w:val="20"/>
        </w:rPr>
        <w:t>NC</w:t>
      </w:r>
      <w:r w:rsidRPr="00802CC2">
        <w:rPr>
          <w:rFonts w:ascii="Arial" w:hAnsi="Arial" w:cs="Arial"/>
          <w:bCs/>
          <w:i/>
          <w:iCs/>
          <w:sz w:val="20"/>
          <w:szCs w:val="20"/>
        </w:rPr>
        <w:t xml:space="preserve"> UL CA with dualPA-Architecture, the PA configuration could potentially be (PC3 + PC3), (PC3 + PC2), or (PC2 + PC2).</w:t>
      </w:r>
    </w:p>
    <w:p w14:paraId="2A6782A4" w14:textId="77777777" w:rsidR="003B04E3" w:rsidRDefault="003B04E3" w:rsidP="00D340F4">
      <w:pPr>
        <w:jc w:val="both"/>
        <w:rPr>
          <w:rFonts w:ascii="Arial" w:hAnsi="Arial" w:cs="Arial"/>
          <w:bCs/>
          <w:sz w:val="20"/>
          <w:szCs w:val="20"/>
        </w:rPr>
      </w:pPr>
    </w:p>
    <w:p w14:paraId="303A2259" w14:textId="77777777" w:rsidR="005D25E0" w:rsidRDefault="005D25E0" w:rsidP="00D340F4">
      <w:pPr>
        <w:jc w:val="both"/>
        <w:rPr>
          <w:rFonts w:ascii="Arial" w:hAnsi="Arial" w:cs="Arial"/>
          <w:sz w:val="20"/>
          <w:szCs w:val="20"/>
        </w:rPr>
      </w:pPr>
    </w:p>
    <w:tbl>
      <w:tblPr>
        <w:tblStyle w:val="TableGrid"/>
        <w:tblW w:w="0" w:type="auto"/>
        <w:jc w:val="center"/>
        <w:tblLayout w:type="fixed"/>
        <w:tblLook w:val="04A0" w:firstRow="1" w:lastRow="0" w:firstColumn="1" w:lastColumn="0" w:noHBand="0" w:noVBand="1"/>
      </w:tblPr>
      <w:tblGrid>
        <w:gridCol w:w="1728"/>
        <w:gridCol w:w="1152"/>
        <w:gridCol w:w="1728"/>
        <w:gridCol w:w="1152"/>
      </w:tblGrid>
      <w:tr w:rsidR="00D340F4" w:rsidRPr="006015D4" w14:paraId="6E1407EA" w14:textId="77777777" w:rsidTr="00D51584">
        <w:trPr>
          <w:trHeight w:val="288"/>
          <w:jc w:val="center"/>
        </w:trPr>
        <w:tc>
          <w:tcPr>
            <w:tcW w:w="2880" w:type="dxa"/>
            <w:gridSpan w:val="2"/>
            <w:vAlign w:val="center"/>
          </w:tcPr>
          <w:p w14:paraId="4371404F"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6ABCF51B" w14:textId="77777777" w:rsidR="00D340F4" w:rsidRPr="006015D4" w:rsidRDefault="00D340F4" w:rsidP="00D51584">
            <w:pPr>
              <w:jc w:val="center"/>
              <w:rPr>
                <w:rFonts w:ascii="Arial" w:hAnsi="Arial" w:cs="Arial"/>
                <w:sz w:val="18"/>
                <w:szCs w:val="18"/>
              </w:rPr>
            </w:pPr>
            <w:r>
              <w:rPr>
                <w:rFonts w:ascii="Arial" w:hAnsi="Arial" w:cs="Arial"/>
                <w:sz w:val="18"/>
                <w:szCs w:val="18"/>
              </w:rPr>
              <w:t>PC2</w:t>
            </w:r>
          </w:p>
        </w:tc>
      </w:tr>
      <w:tr w:rsidR="00D340F4" w:rsidRPr="006015D4" w14:paraId="65F30F8C" w14:textId="77777777" w:rsidTr="00D51584">
        <w:trPr>
          <w:trHeight w:val="288"/>
          <w:jc w:val="center"/>
        </w:trPr>
        <w:tc>
          <w:tcPr>
            <w:tcW w:w="1728" w:type="dxa"/>
            <w:vAlign w:val="center"/>
          </w:tcPr>
          <w:p w14:paraId="1180868F"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0AB6DAD1"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3F5469D"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13A2C1D7"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D340F4" w:rsidRPr="006015D4" w14:paraId="3114A13F" w14:textId="77777777" w:rsidTr="00D51584">
        <w:trPr>
          <w:trHeight w:val="288"/>
          <w:jc w:val="center"/>
        </w:trPr>
        <w:tc>
          <w:tcPr>
            <w:tcW w:w="1728" w:type="dxa"/>
            <w:vAlign w:val="center"/>
          </w:tcPr>
          <w:p w14:paraId="38A861C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EBBC2B2"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7428F15D"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61C080A8"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15.5</w:t>
            </w:r>
          </w:p>
        </w:tc>
      </w:tr>
      <w:tr w:rsidR="00D340F4" w:rsidRPr="006015D4" w14:paraId="25DCFE6A" w14:textId="77777777" w:rsidTr="00D51584">
        <w:trPr>
          <w:trHeight w:val="288"/>
          <w:jc w:val="center"/>
        </w:trPr>
        <w:tc>
          <w:tcPr>
            <w:tcW w:w="1728" w:type="dxa"/>
            <w:vAlign w:val="center"/>
          </w:tcPr>
          <w:p w14:paraId="7F7ABD28"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22B7AE7B"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7BAD5D6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44E52583"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15.0</w:t>
            </w:r>
          </w:p>
        </w:tc>
      </w:tr>
      <w:tr w:rsidR="00D340F4" w:rsidRPr="006015D4" w14:paraId="29265863" w14:textId="77777777" w:rsidTr="00D51584">
        <w:trPr>
          <w:trHeight w:val="288"/>
          <w:jc w:val="center"/>
        </w:trPr>
        <w:tc>
          <w:tcPr>
            <w:tcW w:w="1728" w:type="dxa"/>
            <w:vAlign w:val="center"/>
          </w:tcPr>
          <w:p w14:paraId="2A18EA9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18ECAB01"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4A68FA6A"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385B7F10"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14.0</w:t>
            </w:r>
          </w:p>
        </w:tc>
      </w:tr>
      <w:tr w:rsidR="00D340F4" w:rsidRPr="006015D4" w14:paraId="5C201F6D" w14:textId="77777777" w:rsidTr="00D51584">
        <w:trPr>
          <w:trHeight w:val="288"/>
          <w:jc w:val="center"/>
        </w:trPr>
        <w:tc>
          <w:tcPr>
            <w:tcW w:w="1728" w:type="dxa"/>
            <w:vAlign w:val="center"/>
          </w:tcPr>
          <w:p w14:paraId="3F19A40F"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55B7A1F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00CDB51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EA8C87C"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12.0</w:t>
            </w:r>
          </w:p>
        </w:tc>
      </w:tr>
      <w:tr w:rsidR="00D340F4" w:rsidRPr="006015D4" w14:paraId="2A18EAA2" w14:textId="77777777" w:rsidTr="00D51584">
        <w:trPr>
          <w:trHeight w:val="288"/>
          <w:jc w:val="center"/>
        </w:trPr>
        <w:tc>
          <w:tcPr>
            <w:tcW w:w="1728" w:type="dxa"/>
            <w:vAlign w:val="center"/>
          </w:tcPr>
          <w:p w14:paraId="57629102"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7B61CF9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265DA33"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4870CA9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10.5</w:t>
            </w:r>
          </w:p>
        </w:tc>
      </w:tr>
      <w:tr w:rsidR="00D340F4" w:rsidRPr="006015D4" w14:paraId="65BBA8C7" w14:textId="77777777" w:rsidTr="00D51584">
        <w:trPr>
          <w:trHeight w:val="288"/>
          <w:jc w:val="center"/>
        </w:trPr>
        <w:tc>
          <w:tcPr>
            <w:tcW w:w="1728" w:type="dxa"/>
            <w:vAlign w:val="center"/>
          </w:tcPr>
          <w:p w14:paraId="18EE124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00402E4D"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393CE0CB"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6F8894A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9.0</w:t>
            </w:r>
          </w:p>
        </w:tc>
      </w:tr>
      <w:tr w:rsidR="00D340F4" w:rsidRPr="006015D4" w14:paraId="269072CE" w14:textId="77777777" w:rsidTr="00D51584">
        <w:trPr>
          <w:trHeight w:val="288"/>
          <w:jc w:val="center"/>
        </w:trPr>
        <w:tc>
          <w:tcPr>
            <w:tcW w:w="1728" w:type="dxa"/>
            <w:vAlign w:val="center"/>
          </w:tcPr>
          <w:p w14:paraId="6B46B98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134844B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5680DDD8" w14:textId="77777777" w:rsidR="00D340F4" w:rsidRPr="006015D4" w:rsidRDefault="00D340F4" w:rsidP="00D51584">
            <w:pPr>
              <w:jc w:val="center"/>
              <w:rPr>
                <w:rFonts w:ascii="Arial" w:hAnsi="Arial" w:cs="Arial"/>
                <w:sz w:val="18"/>
                <w:szCs w:val="18"/>
              </w:rPr>
            </w:pPr>
          </w:p>
        </w:tc>
        <w:tc>
          <w:tcPr>
            <w:tcW w:w="1152" w:type="dxa"/>
            <w:vAlign w:val="center"/>
          </w:tcPr>
          <w:p w14:paraId="28CB9E9B" w14:textId="77777777" w:rsidR="00D340F4" w:rsidRPr="006015D4" w:rsidRDefault="00D340F4" w:rsidP="00D51584">
            <w:pPr>
              <w:jc w:val="center"/>
              <w:rPr>
                <w:rFonts w:ascii="Arial" w:hAnsi="Arial" w:cs="Arial"/>
                <w:sz w:val="18"/>
                <w:szCs w:val="18"/>
              </w:rPr>
            </w:pPr>
          </w:p>
        </w:tc>
      </w:tr>
      <w:tr w:rsidR="00D340F4" w:rsidRPr="006015D4" w14:paraId="1F851519" w14:textId="77777777" w:rsidTr="00D51584">
        <w:trPr>
          <w:trHeight w:val="288"/>
          <w:jc w:val="center"/>
        </w:trPr>
        <w:tc>
          <w:tcPr>
            <w:tcW w:w="1728" w:type="dxa"/>
            <w:vAlign w:val="center"/>
          </w:tcPr>
          <w:p w14:paraId="0E91222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0D7F96C"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28889A79" w14:textId="77777777" w:rsidR="00D340F4" w:rsidRPr="006015D4" w:rsidRDefault="00D340F4" w:rsidP="00D51584">
            <w:pPr>
              <w:jc w:val="center"/>
              <w:rPr>
                <w:rFonts w:ascii="Arial" w:hAnsi="Arial" w:cs="Arial"/>
                <w:sz w:val="18"/>
                <w:szCs w:val="18"/>
              </w:rPr>
            </w:pPr>
          </w:p>
        </w:tc>
        <w:tc>
          <w:tcPr>
            <w:tcW w:w="1152" w:type="dxa"/>
            <w:vAlign w:val="center"/>
          </w:tcPr>
          <w:p w14:paraId="1B9ADFB6" w14:textId="77777777" w:rsidR="00D340F4" w:rsidRPr="006015D4" w:rsidRDefault="00D340F4" w:rsidP="00D51584">
            <w:pPr>
              <w:jc w:val="center"/>
              <w:rPr>
                <w:rFonts w:ascii="Arial" w:hAnsi="Arial" w:cs="Arial"/>
                <w:sz w:val="18"/>
                <w:szCs w:val="18"/>
              </w:rPr>
            </w:pPr>
          </w:p>
        </w:tc>
      </w:tr>
      <w:tr w:rsidR="00D340F4" w:rsidRPr="006015D4" w14:paraId="0D145A78" w14:textId="77777777" w:rsidTr="00D51584">
        <w:trPr>
          <w:trHeight w:val="288"/>
          <w:jc w:val="center"/>
        </w:trPr>
        <w:tc>
          <w:tcPr>
            <w:tcW w:w="5760" w:type="dxa"/>
            <w:gridSpan w:val="4"/>
            <w:vAlign w:val="center"/>
          </w:tcPr>
          <w:p w14:paraId="4F871A9A" w14:textId="77777777" w:rsidR="00D340F4" w:rsidRPr="006015D4" w:rsidRDefault="00D340F4" w:rsidP="00D5158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60DF5CDF" w14:textId="77777777" w:rsidR="00D340F4" w:rsidRDefault="00D340F4" w:rsidP="00D340F4">
      <w:pPr>
        <w:jc w:val="both"/>
        <w:rPr>
          <w:rFonts w:ascii="Arial" w:hAnsi="Arial" w:cs="Arial"/>
          <w:sz w:val="20"/>
          <w:szCs w:val="20"/>
        </w:rPr>
      </w:pPr>
    </w:p>
    <w:p w14:paraId="73FAC873" w14:textId="611344DE" w:rsidR="00D340F4" w:rsidRDefault="00D340F4" w:rsidP="00D340F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w:t>
      </w:r>
      <w:r w:rsidRPr="00A4171A">
        <w:rPr>
          <w:rFonts w:ascii="Arial" w:hAnsi="Arial" w:cs="Arial"/>
          <w:b/>
          <w:bCs/>
          <w:sz w:val="20"/>
          <w:szCs w:val="20"/>
        </w:rPr>
        <w:t xml:space="preserve">-1 </w:t>
      </w:r>
      <w:r>
        <w:rPr>
          <w:rFonts w:ascii="Arial" w:hAnsi="Arial" w:cs="Arial"/>
          <w:b/>
          <w:bCs/>
          <w:sz w:val="20"/>
          <w:szCs w:val="20"/>
        </w:rPr>
        <w:t>MPR requirements for intra-band NC UL CA with dualPA for -30dBm/MHz emission</w:t>
      </w:r>
    </w:p>
    <w:p w14:paraId="6BE4D472" w14:textId="77777777" w:rsidR="00D340F4" w:rsidRDefault="00D340F4" w:rsidP="00D340F4">
      <w:pPr>
        <w:jc w:val="both"/>
        <w:rPr>
          <w:rFonts w:ascii="Arial" w:hAnsi="Arial" w:cs="Arial"/>
          <w:sz w:val="20"/>
          <w:szCs w:val="20"/>
        </w:rPr>
      </w:pPr>
    </w:p>
    <w:p w14:paraId="44B705C3" w14:textId="10397474" w:rsidR="00D340F4" w:rsidRDefault="00D340F4" w:rsidP="00D340F4">
      <w:pPr>
        <w:spacing w:after="120"/>
        <w:jc w:val="both"/>
        <w:rPr>
          <w:rFonts w:ascii="Arial" w:hAnsi="Arial" w:cs="Arial"/>
          <w:bCs/>
          <w:sz w:val="20"/>
          <w:szCs w:val="20"/>
        </w:rPr>
      </w:pPr>
      <w:r>
        <w:rPr>
          <w:rFonts w:ascii="Arial" w:hAnsi="Arial" w:cs="Arial"/>
          <w:sz w:val="20"/>
          <w:szCs w:val="20"/>
        </w:rPr>
        <w:t>For (PC3 + PC2) PA configuration, though the PC2 PA is more linear, the MPR would be dominated by the emission from the PC3 PA. Using a conceptual 2-tone IM3 analysis as illustrated in Figure 2-1, it can be seen that the IM3 power level at (2f</w:t>
      </w:r>
      <w:r>
        <w:rPr>
          <w:rFonts w:ascii="Arial" w:hAnsi="Arial" w:cs="Arial"/>
          <w:sz w:val="20"/>
          <w:szCs w:val="20"/>
          <w:vertAlign w:val="subscript"/>
        </w:rPr>
        <w:t>CC</w:t>
      </w:r>
      <w:r w:rsidRPr="001B4701">
        <w:rPr>
          <w:rFonts w:ascii="Arial" w:hAnsi="Arial" w:cs="Arial"/>
          <w:sz w:val="20"/>
          <w:szCs w:val="20"/>
          <w:vertAlign w:val="subscript"/>
        </w:rPr>
        <w:t>1</w:t>
      </w:r>
      <w:r>
        <w:rPr>
          <w:rFonts w:ascii="Arial" w:hAnsi="Arial" w:cs="Arial"/>
          <w:sz w:val="20"/>
          <w:szCs w:val="20"/>
        </w:rPr>
        <w:t xml:space="preserve"> – f</w:t>
      </w:r>
      <w:r>
        <w:rPr>
          <w:rFonts w:ascii="Arial" w:hAnsi="Arial" w:cs="Arial"/>
          <w:sz w:val="20"/>
          <w:szCs w:val="20"/>
          <w:vertAlign w:val="subscript"/>
        </w:rPr>
        <w:t>CC</w:t>
      </w:r>
      <w:r w:rsidRPr="001B4701">
        <w:rPr>
          <w:rFonts w:ascii="Arial" w:hAnsi="Arial" w:cs="Arial"/>
          <w:sz w:val="20"/>
          <w:szCs w:val="20"/>
          <w:vertAlign w:val="subscript"/>
        </w:rPr>
        <w:t>2</w:t>
      </w:r>
      <w:r>
        <w:rPr>
          <w:rFonts w:ascii="Arial" w:hAnsi="Arial" w:cs="Arial"/>
          <w:sz w:val="20"/>
          <w:szCs w:val="20"/>
        </w:rPr>
        <w:t>) for (PC2 + PC3) PA configuration would be lower than that of (PC3 + PC3) PA configuration under the same total output power, owing to the better linearity of PC2 PA. However, the IM3 power at (2f</w:t>
      </w:r>
      <w:r>
        <w:rPr>
          <w:rFonts w:ascii="Arial" w:hAnsi="Arial" w:cs="Arial"/>
          <w:sz w:val="20"/>
          <w:szCs w:val="20"/>
          <w:vertAlign w:val="subscript"/>
        </w:rPr>
        <w:t>CC</w:t>
      </w:r>
      <w:r w:rsidRPr="001B4701">
        <w:rPr>
          <w:rFonts w:ascii="Arial" w:hAnsi="Arial" w:cs="Arial"/>
          <w:sz w:val="20"/>
          <w:szCs w:val="20"/>
          <w:vertAlign w:val="subscript"/>
        </w:rPr>
        <w:t>2</w:t>
      </w:r>
      <w:r>
        <w:rPr>
          <w:rFonts w:ascii="Arial" w:hAnsi="Arial" w:cs="Arial"/>
          <w:sz w:val="20"/>
          <w:szCs w:val="20"/>
        </w:rPr>
        <w:t xml:space="preserve"> – f</w:t>
      </w:r>
      <w:r>
        <w:rPr>
          <w:rFonts w:ascii="Arial" w:hAnsi="Arial" w:cs="Arial"/>
          <w:sz w:val="20"/>
          <w:szCs w:val="20"/>
          <w:vertAlign w:val="subscript"/>
        </w:rPr>
        <w:t>CC</w:t>
      </w:r>
      <w:r w:rsidRPr="001B4701">
        <w:rPr>
          <w:rFonts w:ascii="Arial" w:hAnsi="Arial" w:cs="Arial"/>
          <w:sz w:val="20"/>
          <w:szCs w:val="20"/>
          <w:vertAlign w:val="subscript"/>
        </w:rPr>
        <w:t>1</w:t>
      </w:r>
      <w:r>
        <w:rPr>
          <w:rFonts w:ascii="Arial" w:hAnsi="Arial" w:cs="Arial"/>
          <w:sz w:val="20"/>
          <w:szCs w:val="20"/>
        </w:rPr>
        <w:t xml:space="preserve">) would be the same between (PC2 + PC3) and (PC3 + PC3) PA configurations under the same total output power.          </w:t>
      </w:r>
      <w:r>
        <w:rPr>
          <w:rFonts w:ascii="Arial" w:hAnsi="Arial" w:cs="Arial"/>
          <w:bCs/>
          <w:sz w:val="20"/>
          <w:szCs w:val="20"/>
        </w:rPr>
        <w:t xml:space="preserve">       </w:t>
      </w:r>
    </w:p>
    <w:p w14:paraId="3C64D67E" w14:textId="77777777" w:rsidR="00D340F4" w:rsidRDefault="00D340F4" w:rsidP="00D340F4">
      <w:pPr>
        <w:jc w:val="both"/>
        <w:rPr>
          <w:rFonts w:ascii="Arial" w:hAnsi="Arial" w:cs="Arial"/>
          <w:bCs/>
          <w:sz w:val="20"/>
          <w:szCs w:val="20"/>
        </w:rPr>
      </w:pPr>
    </w:p>
    <w:p w14:paraId="038572A6" w14:textId="77777777" w:rsidR="00D340F4" w:rsidRDefault="00D340F4" w:rsidP="00D340F4">
      <w:pPr>
        <w:jc w:val="center"/>
        <w:rPr>
          <w:rFonts w:ascii="Arial" w:hAnsi="Arial" w:cs="Arial"/>
          <w:bCs/>
          <w:sz w:val="20"/>
          <w:szCs w:val="20"/>
        </w:rPr>
      </w:pPr>
      <w:r>
        <w:rPr>
          <w:rFonts w:ascii="Arial" w:hAnsi="Arial" w:cs="Arial"/>
          <w:bCs/>
          <w:noProof/>
          <w:sz w:val="20"/>
          <w:szCs w:val="20"/>
        </w:rPr>
        <w:drawing>
          <wp:inline distT="0" distB="0" distL="0" distR="0" wp14:anchorId="192AF83F" wp14:editId="59AD0928">
            <wp:extent cx="4405214" cy="2122873"/>
            <wp:effectExtent l="0" t="0" r="1905" b="0"/>
            <wp:docPr id="328519161" name="Picture 3" descr="A diagram of a diagram of a triangle and a triangl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19161" name="Picture 3" descr="A diagram of a diagram of a triangle and a triangle with text&#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440994" cy="2140115"/>
                    </a:xfrm>
                    <a:prstGeom prst="rect">
                      <a:avLst/>
                    </a:prstGeom>
                  </pic:spPr>
                </pic:pic>
              </a:graphicData>
            </a:graphic>
          </wp:inline>
        </w:drawing>
      </w:r>
    </w:p>
    <w:p w14:paraId="318BF9BC" w14:textId="77777777" w:rsidR="00D340F4" w:rsidRDefault="00D340F4" w:rsidP="00D340F4">
      <w:pPr>
        <w:jc w:val="both"/>
        <w:rPr>
          <w:rFonts w:ascii="Arial" w:hAnsi="Arial" w:cs="Arial"/>
          <w:bCs/>
          <w:sz w:val="20"/>
          <w:szCs w:val="20"/>
        </w:rPr>
      </w:pPr>
    </w:p>
    <w:p w14:paraId="61F87A4F" w14:textId="217A025B" w:rsidR="00D340F4" w:rsidRPr="008F0C7D" w:rsidRDefault="00D340F4" w:rsidP="00D340F4">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2-1 A</w:t>
      </w:r>
      <w:r w:rsidRPr="00184EE5">
        <w:rPr>
          <w:rFonts w:ascii="Arial" w:hAnsi="Arial" w:cs="Arial"/>
          <w:b/>
          <w:bCs/>
          <w:sz w:val="20"/>
          <w:szCs w:val="20"/>
        </w:rPr>
        <w:t xml:space="preserve"> </w:t>
      </w:r>
      <w:r>
        <w:rPr>
          <w:rFonts w:ascii="Arial" w:hAnsi="Arial" w:cs="Arial"/>
          <w:b/>
          <w:bCs/>
          <w:sz w:val="20"/>
          <w:szCs w:val="20"/>
        </w:rPr>
        <w:t xml:space="preserve">conceptual </w:t>
      </w:r>
      <w:r w:rsidRPr="00184EE5">
        <w:rPr>
          <w:rFonts w:ascii="Arial" w:hAnsi="Arial" w:cs="Arial"/>
          <w:b/>
          <w:bCs/>
          <w:sz w:val="20"/>
          <w:szCs w:val="20"/>
        </w:rPr>
        <w:t>2-tone IM3 analysis</w:t>
      </w:r>
      <w:r>
        <w:rPr>
          <w:rFonts w:ascii="Arial" w:hAnsi="Arial" w:cs="Arial"/>
          <w:b/>
          <w:bCs/>
          <w:sz w:val="20"/>
          <w:szCs w:val="20"/>
        </w:rPr>
        <w:t xml:space="preserve"> between (PC3+PC3) and (PC2+PC3) PA configurations</w:t>
      </w:r>
    </w:p>
    <w:p w14:paraId="147920D0" w14:textId="77777777" w:rsidR="00D340F4" w:rsidRDefault="00D340F4" w:rsidP="00D340F4">
      <w:pPr>
        <w:jc w:val="both"/>
        <w:rPr>
          <w:rFonts w:ascii="Arial" w:hAnsi="Arial" w:cs="Arial"/>
          <w:bCs/>
          <w:sz w:val="20"/>
          <w:szCs w:val="20"/>
        </w:rPr>
      </w:pPr>
    </w:p>
    <w:p w14:paraId="05EC8590" w14:textId="26102276" w:rsidR="00D340F4" w:rsidRDefault="00D340F4" w:rsidP="00D340F4">
      <w:pPr>
        <w:spacing w:after="120"/>
        <w:jc w:val="both"/>
        <w:rPr>
          <w:rFonts w:ascii="Arial" w:hAnsi="Arial" w:cs="Arial"/>
          <w:bCs/>
          <w:sz w:val="20"/>
          <w:szCs w:val="20"/>
        </w:rPr>
      </w:pPr>
      <w:r>
        <w:rPr>
          <w:rFonts w:ascii="Arial" w:hAnsi="Arial" w:cs="Arial"/>
          <w:bCs/>
          <w:sz w:val="20"/>
          <w:szCs w:val="20"/>
        </w:rPr>
        <w:t xml:space="preserve">Since both sides of the IM3 need to fulfill the same emission requirement, the MPR is also expected to be the same between (PC3 + PC3) and (PC2 + PC3) PA configurations when both are operating at PC3. However, if (PC2 + PC3) PA configuration is operating at PC2, the MPR would be </w:t>
      </w:r>
      <w:r w:rsidR="00AB4B1B">
        <w:rPr>
          <w:rFonts w:ascii="Arial" w:hAnsi="Arial" w:cs="Arial"/>
          <w:bCs/>
          <w:sz w:val="20"/>
          <w:szCs w:val="20"/>
        </w:rPr>
        <w:t xml:space="preserve">expected to be </w:t>
      </w:r>
      <w:r>
        <w:rPr>
          <w:rFonts w:ascii="Arial" w:hAnsi="Arial" w:cs="Arial"/>
          <w:bCs/>
          <w:sz w:val="20"/>
          <w:szCs w:val="20"/>
        </w:rPr>
        <w:t xml:space="preserve">3dB higher than </w:t>
      </w:r>
      <w:r w:rsidR="00AB4B1B">
        <w:rPr>
          <w:rFonts w:ascii="Arial" w:hAnsi="Arial" w:cs="Arial"/>
          <w:bCs/>
          <w:sz w:val="20"/>
          <w:szCs w:val="20"/>
        </w:rPr>
        <w:t xml:space="preserve">that of </w:t>
      </w:r>
      <w:r>
        <w:rPr>
          <w:rFonts w:ascii="Arial" w:hAnsi="Arial" w:cs="Arial"/>
          <w:bCs/>
          <w:sz w:val="20"/>
          <w:szCs w:val="20"/>
        </w:rPr>
        <w:t xml:space="preserve">PC3. </w:t>
      </w:r>
      <w:r w:rsidR="00AB4B1B">
        <w:rPr>
          <w:rFonts w:ascii="Arial" w:hAnsi="Arial" w:cs="Arial"/>
          <w:bCs/>
          <w:sz w:val="20"/>
          <w:szCs w:val="20"/>
        </w:rPr>
        <w:t>Therefore</w:t>
      </w:r>
      <w:r>
        <w:rPr>
          <w:rFonts w:ascii="Arial" w:hAnsi="Arial" w:cs="Arial"/>
          <w:bCs/>
          <w:sz w:val="20"/>
          <w:szCs w:val="20"/>
        </w:rPr>
        <w:t xml:space="preserve">, to have comparable MPR between PC3 and PC2 as </w:t>
      </w:r>
      <w:r>
        <w:rPr>
          <w:rFonts w:ascii="Arial" w:hAnsi="Arial" w:cs="Arial"/>
          <w:sz w:val="20"/>
          <w:szCs w:val="20"/>
        </w:rPr>
        <w:t>observed in Table 2-1, the only possible PA configuration for PC2 would be (PC2 + PC2)</w:t>
      </w:r>
      <w:r w:rsidR="00F06B92">
        <w:rPr>
          <w:rFonts w:ascii="Arial" w:hAnsi="Arial" w:cs="Arial"/>
          <w:sz w:val="20"/>
          <w:szCs w:val="20"/>
        </w:rPr>
        <w:t xml:space="preserve"> [</w:t>
      </w:r>
      <w:r w:rsidR="001124DC">
        <w:rPr>
          <w:rFonts w:ascii="Arial" w:hAnsi="Arial" w:cs="Arial"/>
          <w:sz w:val="20"/>
          <w:szCs w:val="20"/>
        </w:rPr>
        <w:t>5</w:t>
      </w:r>
      <w:r w:rsidR="00F06B92">
        <w:rPr>
          <w:rFonts w:ascii="Arial" w:hAnsi="Arial" w:cs="Arial"/>
          <w:sz w:val="20"/>
          <w:szCs w:val="20"/>
        </w:rPr>
        <w:t>]</w:t>
      </w:r>
      <w:r>
        <w:rPr>
          <w:rFonts w:ascii="Arial" w:hAnsi="Arial" w:cs="Arial"/>
          <w:sz w:val="20"/>
          <w:szCs w:val="20"/>
        </w:rPr>
        <w:t xml:space="preserve">. And that implies MPR for PC1.5 with </w:t>
      </w:r>
      <w:r w:rsidR="00B66B95">
        <w:rPr>
          <w:rFonts w:ascii="Arial" w:hAnsi="Arial" w:cs="Arial"/>
          <w:sz w:val="20"/>
          <w:szCs w:val="20"/>
        </w:rPr>
        <w:t xml:space="preserve">the same </w:t>
      </w:r>
      <w:r>
        <w:rPr>
          <w:rFonts w:ascii="Arial" w:hAnsi="Arial" w:cs="Arial"/>
          <w:sz w:val="20"/>
          <w:szCs w:val="20"/>
        </w:rPr>
        <w:t xml:space="preserve">(PC2 + PC2) PA configuration would be 3dB higher than PC2 which </w:t>
      </w:r>
      <w:r w:rsidR="00B66B95">
        <w:rPr>
          <w:rFonts w:ascii="Arial" w:hAnsi="Arial" w:cs="Arial"/>
          <w:sz w:val="20"/>
          <w:szCs w:val="20"/>
        </w:rPr>
        <w:t xml:space="preserve">also </w:t>
      </w:r>
      <w:r>
        <w:rPr>
          <w:rFonts w:ascii="Arial" w:hAnsi="Arial" w:cs="Arial"/>
          <w:sz w:val="20"/>
          <w:szCs w:val="20"/>
        </w:rPr>
        <w:t>means there is virtually no performance gain for PC1.5 intra-band NC UL CA as compared to its PC2 counterpart.</w:t>
      </w:r>
    </w:p>
    <w:p w14:paraId="5DCC890D" w14:textId="77777777" w:rsidR="00D340F4" w:rsidRDefault="00D340F4" w:rsidP="00D340F4">
      <w:pPr>
        <w:jc w:val="both"/>
        <w:rPr>
          <w:rFonts w:ascii="Arial" w:hAnsi="Arial" w:cs="Arial"/>
          <w:bCs/>
          <w:sz w:val="20"/>
          <w:szCs w:val="20"/>
        </w:rPr>
      </w:pPr>
    </w:p>
    <w:p w14:paraId="0AB2AA37" w14:textId="07C09E08"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802CC2">
        <w:rPr>
          <w:rFonts w:ascii="Arial" w:hAnsi="Arial" w:cs="Arial"/>
          <w:bCs/>
          <w:i/>
          <w:iCs/>
          <w:sz w:val="20"/>
          <w:szCs w:val="20"/>
        </w:rPr>
        <w:t xml:space="preserve">For PC2 intra-band </w:t>
      </w:r>
      <w:r w:rsidR="00AB4B1B">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MPR based on both (PC3 + PC3) and (PC2 + PC3) PA configurations would be 3dB higher than that of PC3.</w:t>
      </w:r>
    </w:p>
    <w:p w14:paraId="0338C871" w14:textId="77777777" w:rsidR="00D340F4" w:rsidRDefault="00D340F4" w:rsidP="00D340F4">
      <w:pPr>
        <w:jc w:val="both"/>
        <w:rPr>
          <w:rFonts w:ascii="Arial" w:hAnsi="Arial" w:cs="Arial"/>
          <w:bCs/>
          <w:sz w:val="20"/>
          <w:szCs w:val="20"/>
        </w:rPr>
      </w:pPr>
    </w:p>
    <w:p w14:paraId="346E3CF7" w14:textId="77777777"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The</w:t>
      </w:r>
      <w:r w:rsidRPr="000C0BA7">
        <w:rPr>
          <w:rFonts w:ascii="Arial" w:hAnsi="Arial" w:cs="Arial"/>
          <w:bCs/>
          <w:i/>
          <w:iCs/>
          <w:sz w:val="20"/>
          <w:szCs w:val="20"/>
        </w:rPr>
        <w:t xml:space="preserve"> comparable MPR </w:t>
      </w:r>
      <w:r>
        <w:rPr>
          <w:rFonts w:ascii="Arial" w:hAnsi="Arial" w:cs="Arial"/>
          <w:bCs/>
          <w:i/>
          <w:iCs/>
          <w:sz w:val="20"/>
          <w:szCs w:val="20"/>
        </w:rPr>
        <w:t xml:space="preserve">values </w:t>
      </w:r>
      <w:r w:rsidRPr="000C0BA7">
        <w:rPr>
          <w:rFonts w:ascii="Arial" w:hAnsi="Arial" w:cs="Arial"/>
          <w:bCs/>
          <w:i/>
          <w:iCs/>
          <w:sz w:val="20"/>
          <w:szCs w:val="20"/>
        </w:rPr>
        <w:t xml:space="preserve">between PC3 and PC2 as </w:t>
      </w:r>
      <w:r>
        <w:rPr>
          <w:rFonts w:ascii="Arial" w:hAnsi="Arial" w:cs="Arial"/>
          <w:bCs/>
          <w:i/>
          <w:iCs/>
          <w:sz w:val="20"/>
          <w:szCs w:val="20"/>
        </w:rPr>
        <w:t>defined</w:t>
      </w:r>
      <w:r w:rsidRPr="000C0BA7">
        <w:rPr>
          <w:rFonts w:ascii="Arial" w:hAnsi="Arial" w:cs="Arial"/>
          <w:bCs/>
          <w:i/>
          <w:iCs/>
          <w:sz w:val="20"/>
          <w:szCs w:val="20"/>
        </w:rPr>
        <w:t xml:space="preserve"> in </w:t>
      </w:r>
      <w:r>
        <w:rPr>
          <w:rFonts w:ascii="Arial" w:hAnsi="Arial" w:cs="Arial"/>
          <w:bCs/>
          <w:i/>
          <w:iCs/>
          <w:sz w:val="20"/>
          <w:szCs w:val="20"/>
        </w:rPr>
        <w:t>current RAN4 specifications implies that</w:t>
      </w:r>
      <w:r w:rsidRPr="000C0BA7">
        <w:rPr>
          <w:rFonts w:ascii="Arial" w:hAnsi="Arial" w:cs="Arial"/>
          <w:bCs/>
          <w:i/>
          <w:iCs/>
          <w:sz w:val="20"/>
          <w:szCs w:val="20"/>
        </w:rPr>
        <w:t xml:space="preserve"> the only possible PA configuration for PC2 would be (PC2 + PC2).</w:t>
      </w:r>
    </w:p>
    <w:p w14:paraId="0425A621" w14:textId="77777777" w:rsidR="00D340F4" w:rsidRDefault="00D340F4" w:rsidP="00D340F4">
      <w:pPr>
        <w:jc w:val="both"/>
        <w:rPr>
          <w:rFonts w:ascii="Arial" w:hAnsi="Arial" w:cs="Arial"/>
          <w:bCs/>
          <w:sz w:val="20"/>
          <w:szCs w:val="20"/>
        </w:rPr>
      </w:pPr>
    </w:p>
    <w:p w14:paraId="3362F4AA" w14:textId="1D341265"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 xml:space="preserve">As PC1.5 </w:t>
      </w:r>
      <w:r w:rsidRPr="00802CC2">
        <w:rPr>
          <w:rFonts w:ascii="Arial" w:hAnsi="Arial" w:cs="Arial"/>
          <w:bCs/>
          <w:i/>
          <w:iCs/>
          <w:sz w:val="20"/>
          <w:szCs w:val="20"/>
        </w:rPr>
        <w:t xml:space="preserve">intra-band </w:t>
      </w:r>
      <w:r w:rsidR="00B66B95">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would be based on the same (PC2 + PC2) PA configuration for PC2, the PC1.5 MPR is expected to be 3dB higher than that of PC2. </w:t>
      </w:r>
    </w:p>
    <w:p w14:paraId="7650EBD5" w14:textId="77777777" w:rsidR="00D340F4" w:rsidRDefault="00D340F4" w:rsidP="00D340F4">
      <w:pPr>
        <w:jc w:val="both"/>
        <w:rPr>
          <w:rFonts w:ascii="Arial" w:hAnsi="Arial" w:cs="Arial"/>
          <w:bCs/>
          <w:sz w:val="20"/>
          <w:szCs w:val="20"/>
        </w:rPr>
      </w:pPr>
    </w:p>
    <w:p w14:paraId="4020FA32" w14:textId="19742E90" w:rsidR="00D340F4" w:rsidRDefault="00D340F4" w:rsidP="00B66B95">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6</w:t>
      </w:r>
      <w:r w:rsidRPr="009C58C3">
        <w:rPr>
          <w:rFonts w:ascii="Arial" w:hAnsi="Arial" w:cs="Arial"/>
          <w:bCs/>
          <w:i/>
          <w:iCs/>
          <w:sz w:val="20"/>
          <w:szCs w:val="20"/>
        </w:rPr>
        <w:t xml:space="preserve">: </w:t>
      </w:r>
      <w:r>
        <w:rPr>
          <w:rFonts w:ascii="Arial" w:hAnsi="Arial" w:cs="Arial"/>
          <w:bCs/>
          <w:i/>
          <w:iCs/>
          <w:sz w:val="20"/>
          <w:szCs w:val="20"/>
        </w:rPr>
        <w:t>T</w:t>
      </w:r>
      <w:r w:rsidRPr="00752EC7">
        <w:rPr>
          <w:rFonts w:ascii="Arial" w:hAnsi="Arial" w:cs="Arial"/>
          <w:bCs/>
          <w:i/>
          <w:iCs/>
          <w:sz w:val="20"/>
          <w:szCs w:val="20"/>
        </w:rPr>
        <w:t>here is virtually no performance gain for PC1.5 intra-band NC UL CA as compared to its PC2 counterpart.</w:t>
      </w:r>
    </w:p>
    <w:p w14:paraId="651FCC45" w14:textId="77777777" w:rsidR="00B66B95" w:rsidRDefault="00B66B95" w:rsidP="00D340F4">
      <w:pPr>
        <w:jc w:val="both"/>
        <w:rPr>
          <w:rFonts w:ascii="Arial" w:hAnsi="Arial" w:cs="Arial"/>
          <w:bCs/>
          <w:i/>
          <w:iCs/>
          <w:sz w:val="20"/>
          <w:szCs w:val="20"/>
        </w:rPr>
      </w:pPr>
    </w:p>
    <w:p w14:paraId="785644F5" w14:textId="19241434" w:rsidR="00B66B95" w:rsidRPr="00B66B95" w:rsidRDefault="00B66B95" w:rsidP="00B66B95">
      <w:pPr>
        <w:spacing w:after="120"/>
        <w:jc w:val="both"/>
        <w:rPr>
          <w:rFonts w:ascii="Arial" w:hAnsi="Arial" w:cs="Arial"/>
          <w:bCs/>
          <w:i/>
          <w:iCs/>
          <w:sz w:val="20"/>
          <w:szCs w:val="20"/>
        </w:rPr>
      </w:pPr>
      <w:r w:rsidRPr="00B66B95">
        <w:rPr>
          <w:rFonts w:ascii="Arial" w:hAnsi="Arial" w:cs="Arial"/>
          <w:b/>
          <w:bCs/>
          <w:i/>
          <w:iCs/>
          <w:sz w:val="20"/>
          <w:szCs w:val="20"/>
        </w:rPr>
        <w:t>Proposal</w:t>
      </w:r>
      <w:r w:rsidRPr="00B66B95">
        <w:rPr>
          <w:rFonts w:ascii="Arial" w:hAnsi="Arial" w:cs="Arial"/>
          <w:i/>
          <w:iCs/>
          <w:sz w:val="20"/>
          <w:szCs w:val="20"/>
        </w:rPr>
        <w:t xml:space="preserve">: </w:t>
      </w:r>
      <w:r>
        <w:rPr>
          <w:rFonts w:ascii="Arial" w:hAnsi="Arial" w:cs="Arial"/>
          <w:bCs/>
          <w:i/>
          <w:iCs/>
          <w:sz w:val="20"/>
          <w:szCs w:val="20"/>
        </w:rPr>
        <w:t xml:space="preserve">PC1.5 intra-band NC UL CA MPR is 3dB higher than that of its PC2 counterpart.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19CBDD8B" w14:textId="65E7CFEE" w:rsidR="00A6626A" w:rsidRPr="00A6626A" w:rsidRDefault="007F11A8" w:rsidP="00A6626A">
      <w:pPr>
        <w:spacing w:after="120"/>
        <w:jc w:val="both"/>
        <w:rPr>
          <w:rFonts w:ascii="Arial" w:hAnsi="Arial" w:cs="Arial"/>
          <w:bCs/>
          <w:sz w:val="20"/>
          <w:szCs w:val="20"/>
        </w:rPr>
      </w:pPr>
      <w:r>
        <w:rPr>
          <w:rFonts w:ascii="Arial" w:hAnsi="Arial" w:cs="Arial"/>
          <w:sz w:val="20"/>
          <w:szCs w:val="20"/>
        </w:rPr>
        <w:t xml:space="preserve">In this contribution, we reiterate to propose that MPR for </w:t>
      </w:r>
      <w:r w:rsidRPr="00A46123">
        <w:rPr>
          <w:rFonts w:ascii="Arial" w:hAnsi="Arial" w:cs="Arial"/>
          <w:sz w:val="20"/>
          <w:szCs w:val="20"/>
        </w:rPr>
        <w:t>PC1.5 intra-band NC UL CA is 3dB higher than that of PC2 intra-band NC UL CA</w:t>
      </w:r>
      <w:r>
        <w:rPr>
          <w:rFonts w:ascii="Arial" w:hAnsi="Arial" w:cs="Arial"/>
          <w:sz w:val="20"/>
          <w:szCs w:val="20"/>
        </w:rPr>
        <w:t xml:space="preserve"> based on our analysis on RAN4 PA configuration assumptions for MPR evaluations</w:t>
      </w:r>
      <w:r w:rsidRPr="00FF5DD2">
        <w:rPr>
          <w:rFonts w:ascii="Arial" w:hAnsi="Arial" w:cs="Arial"/>
          <w:sz w:val="20"/>
          <w:szCs w:val="20"/>
        </w:rPr>
        <w:t xml:space="preserve"> </w:t>
      </w:r>
      <w:r>
        <w:rPr>
          <w:rFonts w:ascii="Arial" w:hAnsi="Arial" w:cs="Arial"/>
          <w:sz w:val="20"/>
          <w:szCs w:val="20"/>
        </w:rPr>
        <w:t xml:space="preserve">for </w:t>
      </w:r>
      <w:r w:rsidRPr="00FF5DD2">
        <w:rPr>
          <w:rFonts w:ascii="Arial" w:hAnsi="Arial" w:cs="Arial"/>
          <w:sz w:val="20"/>
          <w:szCs w:val="20"/>
        </w:rPr>
        <w:t>PC3, PC2 and PC1.5</w:t>
      </w:r>
      <w:r>
        <w:rPr>
          <w:rFonts w:ascii="Arial" w:hAnsi="Arial" w:cs="Arial"/>
          <w:sz w:val="20"/>
          <w:szCs w:val="20"/>
        </w:rPr>
        <w:t xml:space="preserve"> intra-band NC UL as presented in RAN4 #113 meeting.</w:t>
      </w:r>
    </w:p>
    <w:p w14:paraId="1B411CFA" w14:textId="77777777" w:rsidR="00A6626A" w:rsidRDefault="00A6626A" w:rsidP="00DB0BC8">
      <w:pPr>
        <w:jc w:val="both"/>
        <w:rPr>
          <w:rFonts w:ascii="Arial" w:hAnsi="Arial" w:cs="Arial"/>
          <w:sz w:val="20"/>
          <w:szCs w:val="20"/>
          <w:lang w:val="en-GB"/>
        </w:rPr>
      </w:pPr>
    </w:p>
    <w:p w14:paraId="64868A17" w14:textId="77777777" w:rsidR="007F11A8" w:rsidRDefault="007F11A8" w:rsidP="007F11A8">
      <w:pPr>
        <w:spacing w:after="120"/>
        <w:jc w:val="both"/>
        <w:rPr>
          <w:rFonts w:ascii="Arial" w:hAnsi="Arial" w:cs="Arial"/>
          <w:sz w:val="20"/>
          <w:szCs w:val="20"/>
        </w:rPr>
      </w:pPr>
      <w:r w:rsidRPr="009C58C3">
        <w:rPr>
          <w:rFonts w:ascii="Arial" w:hAnsi="Arial" w:cs="Arial"/>
          <w:b/>
          <w:i/>
          <w:iCs/>
          <w:sz w:val="20"/>
          <w:szCs w:val="20"/>
        </w:rPr>
        <w:t xml:space="preserve">Observation </w:t>
      </w:r>
      <w:r>
        <w:rPr>
          <w:rFonts w:ascii="Arial" w:hAnsi="Arial" w:cs="Arial"/>
          <w:b/>
          <w:i/>
          <w:iCs/>
          <w:sz w:val="20"/>
          <w:szCs w:val="20"/>
        </w:rPr>
        <w:t>1</w:t>
      </w:r>
      <w:r w:rsidRPr="009C58C3">
        <w:rPr>
          <w:rFonts w:ascii="Arial" w:hAnsi="Arial" w:cs="Arial"/>
          <w:bCs/>
          <w:i/>
          <w:iCs/>
          <w:sz w:val="20"/>
          <w:szCs w:val="20"/>
        </w:rPr>
        <w:t xml:space="preserve">: </w:t>
      </w:r>
      <w:r w:rsidRPr="00802CC2">
        <w:rPr>
          <w:rFonts w:ascii="Arial" w:hAnsi="Arial" w:cs="Arial"/>
          <w:bCs/>
          <w:i/>
          <w:iCs/>
          <w:sz w:val="20"/>
          <w:szCs w:val="20"/>
        </w:rPr>
        <w:t xml:space="preserve">For PC3 intra-band </w:t>
      </w:r>
      <w:r>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MPR has been specified based on (PC3 + PC3) PA configuration. </w:t>
      </w:r>
    </w:p>
    <w:p w14:paraId="186C7BFC" w14:textId="77777777" w:rsidR="007F11A8" w:rsidRDefault="007F11A8" w:rsidP="007F11A8">
      <w:pPr>
        <w:jc w:val="both"/>
        <w:rPr>
          <w:rFonts w:ascii="Arial" w:hAnsi="Arial" w:cs="Arial"/>
          <w:sz w:val="20"/>
          <w:szCs w:val="20"/>
        </w:rPr>
      </w:pPr>
    </w:p>
    <w:p w14:paraId="7F89CCE6" w14:textId="14DD2E0B" w:rsidR="007F11A8" w:rsidRDefault="007F11A8" w:rsidP="007F11A8">
      <w:pPr>
        <w:spacing w:after="120"/>
        <w:jc w:val="both"/>
        <w:rPr>
          <w:rFonts w:ascii="Arial" w:hAnsi="Arial" w:cs="Arial"/>
          <w:sz w:val="20"/>
          <w:szCs w:val="20"/>
          <w:lang w:val="en-GB"/>
        </w:rPr>
      </w:pPr>
      <w:r w:rsidRPr="009C58C3">
        <w:rPr>
          <w:rFonts w:ascii="Arial" w:hAnsi="Arial" w:cs="Arial"/>
          <w:b/>
          <w:i/>
          <w:iCs/>
          <w:sz w:val="20"/>
          <w:szCs w:val="20"/>
        </w:rPr>
        <w:t xml:space="preserve">Observation </w:t>
      </w:r>
      <w:r>
        <w:rPr>
          <w:rFonts w:ascii="Arial" w:hAnsi="Arial" w:cs="Arial"/>
          <w:b/>
          <w:i/>
          <w:iCs/>
          <w:sz w:val="20"/>
          <w:szCs w:val="20"/>
        </w:rPr>
        <w:t>2</w:t>
      </w:r>
      <w:r w:rsidRPr="009C58C3">
        <w:rPr>
          <w:rFonts w:ascii="Arial" w:hAnsi="Arial" w:cs="Arial"/>
          <w:bCs/>
          <w:i/>
          <w:iCs/>
          <w:sz w:val="20"/>
          <w:szCs w:val="20"/>
        </w:rPr>
        <w:t xml:space="preserve">: </w:t>
      </w:r>
      <w:r>
        <w:rPr>
          <w:rFonts w:ascii="Arial" w:hAnsi="Arial" w:cs="Arial"/>
          <w:bCs/>
          <w:i/>
          <w:iCs/>
          <w:sz w:val="20"/>
          <w:szCs w:val="20"/>
        </w:rPr>
        <w:t>F</w:t>
      </w:r>
      <w:r w:rsidRPr="00802CC2">
        <w:rPr>
          <w:rFonts w:ascii="Arial" w:hAnsi="Arial" w:cs="Arial"/>
          <w:bCs/>
          <w:i/>
          <w:iCs/>
          <w:sz w:val="20"/>
          <w:szCs w:val="20"/>
        </w:rPr>
        <w:t xml:space="preserve">or PC2 intra-band </w:t>
      </w:r>
      <w:r>
        <w:rPr>
          <w:rFonts w:ascii="Arial" w:hAnsi="Arial" w:cs="Arial"/>
          <w:bCs/>
          <w:i/>
          <w:iCs/>
          <w:sz w:val="20"/>
          <w:szCs w:val="20"/>
        </w:rPr>
        <w:t>NC</w:t>
      </w:r>
      <w:r w:rsidRPr="00802CC2">
        <w:rPr>
          <w:rFonts w:ascii="Arial" w:hAnsi="Arial" w:cs="Arial"/>
          <w:bCs/>
          <w:i/>
          <w:iCs/>
          <w:sz w:val="20"/>
          <w:szCs w:val="20"/>
        </w:rPr>
        <w:t xml:space="preserve"> UL CA with dualPA-Architecture, the PA configuration could potentially be (PC3 + PC3), (PC3 + PC2), or (PC2 + PC2).</w:t>
      </w:r>
    </w:p>
    <w:p w14:paraId="27CCD865" w14:textId="77777777" w:rsidR="00D76853" w:rsidRDefault="00D76853" w:rsidP="00D76853">
      <w:pPr>
        <w:jc w:val="both"/>
        <w:rPr>
          <w:rFonts w:ascii="Arial" w:hAnsi="Arial" w:cs="Arial"/>
          <w:bCs/>
          <w:sz w:val="20"/>
          <w:szCs w:val="20"/>
        </w:rPr>
      </w:pPr>
    </w:p>
    <w:p w14:paraId="3F7C7440" w14:textId="77777777" w:rsidR="007F11A8" w:rsidRPr="009C58C3" w:rsidRDefault="007F11A8" w:rsidP="007F11A8">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802CC2">
        <w:rPr>
          <w:rFonts w:ascii="Arial" w:hAnsi="Arial" w:cs="Arial"/>
          <w:bCs/>
          <w:i/>
          <w:iCs/>
          <w:sz w:val="20"/>
          <w:szCs w:val="20"/>
        </w:rPr>
        <w:t xml:space="preserve">For PC2 intra-band </w:t>
      </w:r>
      <w:r>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MPR based on both (PC3 + PC3) and (PC2 + PC3) PA configurations would be 3dB higher than that of PC3.</w:t>
      </w:r>
    </w:p>
    <w:p w14:paraId="24849BFC" w14:textId="77777777" w:rsidR="007F11A8" w:rsidRDefault="007F11A8" w:rsidP="007F11A8">
      <w:pPr>
        <w:jc w:val="both"/>
        <w:rPr>
          <w:rFonts w:ascii="Arial" w:hAnsi="Arial" w:cs="Arial"/>
          <w:bCs/>
          <w:sz w:val="20"/>
          <w:szCs w:val="20"/>
        </w:rPr>
      </w:pPr>
    </w:p>
    <w:p w14:paraId="0E60D922" w14:textId="77777777" w:rsidR="007F11A8" w:rsidRPr="009C58C3" w:rsidRDefault="007F11A8" w:rsidP="007F11A8">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The</w:t>
      </w:r>
      <w:r w:rsidRPr="000C0BA7">
        <w:rPr>
          <w:rFonts w:ascii="Arial" w:hAnsi="Arial" w:cs="Arial"/>
          <w:bCs/>
          <w:i/>
          <w:iCs/>
          <w:sz w:val="20"/>
          <w:szCs w:val="20"/>
        </w:rPr>
        <w:t xml:space="preserve"> comparable MPR </w:t>
      </w:r>
      <w:r>
        <w:rPr>
          <w:rFonts w:ascii="Arial" w:hAnsi="Arial" w:cs="Arial"/>
          <w:bCs/>
          <w:i/>
          <w:iCs/>
          <w:sz w:val="20"/>
          <w:szCs w:val="20"/>
        </w:rPr>
        <w:t xml:space="preserve">values </w:t>
      </w:r>
      <w:r w:rsidRPr="000C0BA7">
        <w:rPr>
          <w:rFonts w:ascii="Arial" w:hAnsi="Arial" w:cs="Arial"/>
          <w:bCs/>
          <w:i/>
          <w:iCs/>
          <w:sz w:val="20"/>
          <w:szCs w:val="20"/>
        </w:rPr>
        <w:t xml:space="preserve">between PC3 and PC2 as </w:t>
      </w:r>
      <w:r>
        <w:rPr>
          <w:rFonts w:ascii="Arial" w:hAnsi="Arial" w:cs="Arial"/>
          <w:bCs/>
          <w:i/>
          <w:iCs/>
          <w:sz w:val="20"/>
          <w:szCs w:val="20"/>
        </w:rPr>
        <w:t>defined</w:t>
      </w:r>
      <w:r w:rsidRPr="000C0BA7">
        <w:rPr>
          <w:rFonts w:ascii="Arial" w:hAnsi="Arial" w:cs="Arial"/>
          <w:bCs/>
          <w:i/>
          <w:iCs/>
          <w:sz w:val="20"/>
          <w:szCs w:val="20"/>
        </w:rPr>
        <w:t xml:space="preserve"> in </w:t>
      </w:r>
      <w:r>
        <w:rPr>
          <w:rFonts w:ascii="Arial" w:hAnsi="Arial" w:cs="Arial"/>
          <w:bCs/>
          <w:i/>
          <w:iCs/>
          <w:sz w:val="20"/>
          <w:szCs w:val="20"/>
        </w:rPr>
        <w:t>current RAN4 specifications implies that</w:t>
      </w:r>
      <w:r w:rsidRPr="000C0BA7">
        <w:rPr>
          <w:rFonts w:ascii="Arial" w:hAnsi="Arial" w:cs="Arial"/>
          <w:bCs/>
          <w:i/>
          <w:iCs/>
          <w:sz w:val="20"/>
          <w:szCs w:val="20"/>
        </w:rPr>
        <w:t xml:space="preserve"> the only possible PA configuration for PC2 would be (PC2 + PC2).</w:t>
      </w:r>
    </w:p>
    <w:p w14:paraId="3476A4E0" w14:textId="77777777" w:rsidR="007F11A8" w:rsidRDefault="007F11A8" w:rsidP="007F11A8">
      <w:pPr>
        <w:jc w:val="both"/>
        <w:rPr>
          <w:rFonts w:ascii="Arial" w:hAnsi="Arial" w:cs="Arial"/>
          <w:bCs/>
          <w:sz w:val="20"/>
          <w:szCs w:val="20"/>
        </w:rPr>
      </w:pPr>
    </w:p>
    <w:p w14:paraId="469FEFB4" w14:textId="77777777" w:rsidR="007F11A8" w:rsidRPr="009C58C3" w:rsidRDefault="007F11A8" w:rsidP="007F11A8">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 xml:space="preserve">As PC1.5 </w:t>
      </w:r>
      <w:r w:rsidRPr="00802CC2">
        <w:rPr>
          <w:rFonts w:ascii="Arial" w:hAnsi="Arial" w:cs="Arial"/>
          <w:bCs/>
          <w:i/>
          <w:iCs/>
          <w:sz w:val="20"/>
          <w:szCs w:val="20"/>
        </w:rPr>
        <w:t xml:space="preserve">intra-band </w:t>
      </w:r>
      <w:r>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would be based on the same (PC2 + PC2) PA configuration for PC2, the PC1.5 MPR is expected to be 3dB higher than that of PC2. </w:t>
      </w:r>
    </w:p>
    <w:p w14:paraId="00BBAD6D" w14:textId="77777777" w:rsidR="007F11A8" w:rsidRDefault="007F11A8" w:rsidP="007F11A8">
      <w:pPr>
        <w:jc w:val="both"/>
        <w:rPr>
          <w:rFonts w:ascii="Arial" w:hAnsi="Arial" w:cs="Arial"/>
          <w:bCs/>
          <w:sz w:val="20"/>
          <w:szCs w:val="20"/>
        </w:rPr>
      </w:pPr>
    </w:p>
    <w:p w14:paraId="3574CB0A" w14:textId="3AF8EAB1" w:rsidR="007F11A8" w:rsidRDefault="007F11A8" w:rsidP="007F11A8">
      <w:pPr>
        <w:spacing w:after="120"/>
        <w:jc w:val="both"/>
        <w:rPr>
          <w:rFonts w:ascii="Arial" w:hAnsi="Arial" w:cs="Arial"/>
          <w:bCs/>
          <w:sz w:val="20"/>
          <w:szCs w:val="20"/>
        </w:rPr>
      </w:pPr>
      <w:r w:rsidRPr="009C58C3">
        <w:rPr>
          <w:rFonts w:ascii="Arial" w:hAnsi="Arial" w:cs="Arial"/>
          <w:b/>
          <w:i/>
          <w:iCs/>
          <w:sz w:val="20"/>
          <w:szCs w:val="20"/>
        </w:rPr>
        <w:t xml:space="preserve">Observation </w:t>
      </w:r>
      <w:r>
        <w:rPr>
          <w:rFonts w:ascii="Arial" w:hAnsi="Arial" w:cs="Arial"/>
          <w:b/>
          <w:i/>
          <w:iCs/>
          <w:sz w:val="20"/>
          <w:szCs w:val="20"/>
        </w:rPr>
        <w:t>6</w:t>
      </w:r>
      <w:r w:rsidRPr="009C58C3">
        <w:rPr>
          <w:rFonts w:ascii="Arial" w:hAnsi="Arial" w:cs="Arial"/>
          <w:bCs/>
          <w:i/>
          <w:iCs/>
          <w:sz w:val="20"/>
          <w:szCs w:val="20"/>
        </w:rPr>
        <w:t xml:space="preserve">: </w:t>
      </w:r>
      <w:r>
        <w:rPr>
          <w:rFonts w:ascii="Arial" w:hAnsi="Arial" w:cs="Arial"/>
          <w:bCs/>
          <w:i/>
          <w:iCs/>
          <w:sz w:val="20"/>
          <w:szCs w:val="20"/>
        </w:rPr>
        <w:t>T</w:t>
      </w:r>
      <w:r w:rsidRPr="00752EC7">
        <w:rPr>
          <w:rFonts w:ascii="Arial" w:hAnsi="Arial" w:cs="Arial"/>
          <w:bCs/>
          <w:i/>
          <w:iCs/>
          <w:sz w:val="20"/>
          <w:szCs w:val="20"/>
        </w:rPr>
        <w:t>here is virtually no performance gain for PC1.5 intra-band NC UL CA as compared to its PC2 counterpart.</w:t>
      </w:r>
    </w:p>
    <w:p w14:paraId="3854492C" w14:textId="77777777" w:rsidR="007F11A8" w:rsidRPr="00D76853" w:rsidRDefault="007F11A8" w:rsidP="00D76853">
      <w:pPr>
        <w:jc w:val="both"/>
        <w:rPr>
          <w:rFonts w:ascii="Arial" w:hAnsi="Arial" w:cs="Arial"/>
          <w:bCs/>
          <w:sz w:val="20"/>
          <w:szCs w:val="20"/>
        </w:rPr>
      </w:pPr>
    </w:p>
    <w:p w14:paraId="4BFC82D9" w14:textId="53658838" w:rsidR="00D76853" w:rsidRPr="00D76853" w:rsidRDefault="007F11A8" w:rsidP="00D76853">
      <w:pPr>
        <w:spacing w:after="120"/>
        <w:jc w:val="both"/>
        <w:rPr>
          <w:rFonts w:ascii="Arial" w:hAnsi="Arial" w:cs="Arial"/>
          <w:bCs/>
          <w:i/>
          <w:iCs/>
          <w:sz w:val="20"/>
          <w:szCs w:val="20"/>
        </w:rPr>
      </w:pPr>
      <w:r w:rsidRPr="00B66B95">
        <w:rPr>
          <w:rFonts w:ascii="Arial" w:hAnsi="Arial" w:cs="Arial"/>
          <w:b/>
          <w:bCs/>
          <w:i/>
          <w:iCs/>
          <w:sz w:val="20"/>
          <w:szCs w:val="20"/>
        </w:rPr>
        <w:t>Proposal</w:t>
      </w:r>
      <w:r w:rsidRPr="00B66B95">
        <w:rPr>
          <w:rFonts w:ascii="Arial" w:hAnsi="Arial" w:cs="Arial"/>
          <w:i/>
          <w:iCs/>
          <w:sz w:val="20"/>
          <w:szCs w:val="20"/>
        </w:rPr>
        <w:t xml:space="preserve">: </w:t>
      </w:r>
      <w:r>
        <w:rPr>
          <w:rFonts w:ascii="Arial" w:hAnsi="Arial" w:cs="Arial"/>
          <w:bCs/>
          <w:i/>
          <w:iCs/>
          <w:sz w:val="20"/>
          <w:szCs w:val="20"/>
        </w:rPr>
        <w:t xml:space="preserve">PC1.5 intra-band NC UL CA MPR is 3dB higher than that of its PC2 counterpart. </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23A99E66" w14:textId="55A851D5" w:rsidR="00D340F4" w:rsidRDefault="00CA510E" w:rsidP="00D340F4">
      <w:pPr>
        <w:pStyle w:val="EX"/>
        <w:spacing w:after="180"/>
        <w:ind w:left="374" w:hanging="374"/>
        <w:jc w:val="both"/>
        <w:rPr>
          <w:rFonts w:ascii="Arial" w:hAnsi="Arial" w:cs="Arial"/>
          <w:bCs/>
          <w:sz w:val="20"/>
          <w:szCs w:val="20"/>
        </w:rPr>
      </w:pPr>
      <w:r w:rsidRPr="00CA510E">
        <w:rPr>
          <w:rFonts w:ascii="Arial" w:hAnsi="Arial" w:cs="Arial"/>
          <w:bCs/>
          <w:sz w:val="20"/>
          <w:szCs w:val="20"/>
        </w:rPr>
        <w:t>R4-2</w:t>
      </w:r>
      <w:r w:rsidR="008731E6">
        <w:rPr>
          <w:rFonts w:ascii="Arial" w:hAnsi="Arial" w:cs="Arial"/>
          <w:bCs/>
          <w:sz w:val="20"/>
          <w:szCs w:val="20"/>
        </w:rPr>
        <w:t>50</w:t>
      </w:r>
      <w:r w:rsidR="008C364B">
        <w:rPr>
          <w:rFonts w:ascii="Arial" w:hAnsi="Arial" w:cs="Arial"/>
          <w:bCs/>
          <w:sz w:val="20"/>
          <w:szCs w:val="20"/>
        </w:rPr>
        <w:t>5100</w:t>
      </w:r>
      <w:r w:rsidRPr="00CA510E">
        <w:rPr>
          <w:rFonts w:ascii="Arial" w:hAnsi="Arial" w:cs="Arial"/>
          <w:bCs/>
          <w:sz w:val="20"/>
          <w:szCs w:val="20"/>
        </w:rPr>
        <w:t xml:space="preserve"> “</w:t>
      </w:r>
      <w:r w:rsidR="008C364B" w:rsidRPr="008C364B">
        <w:rPr>
          <w:rFonts w:ascii="Arial" w:hAnsi="Arial" w:cs="Arial"/>
          <w:bCs/>
          <w:sz w:val="20"/>
          <w:szCs w:val="20"/>
        </w:rPr>
        <w:t>WF on HPUE RF requirements</w:t>
      </w:r>
      <w:r w:rsidRPr="00CA510E">
        <w:rPr>
          <w:rFonts w:ascii="Arial" w:hAnsi="Arial" w:cs="Arial"/>
          <w:bCs/>
          <w:sz w:val="20"/>
          <w:szCs w:val="20"/>
        </w:rPr>
        <w:t xml:space="preserve">”, </w:t>
      </w:r>
      <w:r w:rsidR="008C364B">
        <w:rPr>
          <w:rFonts w:ascii="Arial" w:hAnsi="Arial" w:cs="Arial"/>
          <w:bCs/>
          <w:sz w:val="20"/>
          <w:szCs w:val="20"/>
        </w:rPr>
        <w:t>Qualcomm</w:t>
      </w:r>
      <w:r w:rsidRPr="00CA510E">
        <w:rPr>
          <w:rFonts w:ascii="Arial" w:hAnsi="Arial" w:cs="Arial"/>
          <w:bCs/>
          <w:sz w:val="20"/>
          <w:szCs w:val="20"/>
        </w:rPr>
        <w:t xml:space="preserve">, </w:t>
      </w:r>
      <w:r w:rsidR="00FF5DD2" w:rsidRPr="00CA510E">
        <w:rPr>
          <w:rFonts w:ascii="Arial" w:hAnsi="Arial" w:cs="Arial"/>
          <w:bCs/>
          <w:sz w:val="20"/>
          <w:szCs w:val="20"/>
        </w:rPr>
        <w:t>3GPP TSG RAN WG4 Meeting #11</w:t>
      </w:r>
      <w:r w:rsidR="008731E6">
        <w:rPr>
          <w:rFonts w:ascii="Arial" w:hAnsi="Arial" w:cs="Arial"/>
          <w:bCs/>
          <w:sz w:val="20"/>
          <w:szCs w:val="20"/>
        </w:rPr>
        <w:t>4</w:t>
      </w:r>
      <w:r w:rsidR="008C364B">
        <w:rPr>
          <w:rFonts w:ascii="Arial" w:hAnsi="Arial" w:cs="Arial"/>
          <w:bCs/>
          <w:sz w:val="20"/>
          <w:szCs w:val="20"/>
        </w:rPr>
        <w:t>bis</w:t>
      </w:r>
      <w:r w:rsidR="00FF5DD2" w:rsidRPr="00CA510E">
        <w:rPr>
          <w:rFonts w:ascii="Arial" w:hAnsi="Arial" w:cs="Arial"/>
          <w:bCs/>
          <w:sz w:val="20"/>
          <w:szCs w:val="20"/>
        </w:rPr>
        <w:t xml:space="preserve">, </w:t>
      </w:r>
      <w:r w:rsidR="008C364B">
        <w:rPr>
          <w:rFonts w:ascii="Arial" w:hAnsi="Arial" w:cs="Arial"/>
          <w:bCs/>
          <w:sz w:val="20"/>
          <w:szCs w:val="20"/>
        </w:rPr>
        <w:t>Wuhan</w:t>
      </w:r>
      <w:r w:rsidR="00FF5DD2" w:rsidRPr="00CA510E">
        <w:rPr>
          <w:rFonts w:ascii="Arial" w:hAnsi="Arial" w:cs="Arial"/>
          <w:bCs/>
          <w:sz w:val="20"/>
          <w:szCs w:val="20"/>
        </w:rPr>
        <w:t xml:space="preserve">, </w:t>
      </w:r>
      <w:r w:rsidR="008C364B">
        <w:rPr>
          <w:rFonts w:ascii="Arial" w:hAnsi="Arial" w:cs="Arial"/>
          <w:bCs/>
          <w:sz w:val="20"/>
          <w:szCs w:val="20"/>
        </w:rPr>
        <w:t>China</w:t>
      </w:r>
      <w:r w:rsidR="00FF5DD2" w:rsidRPr="00CA510E">
        <w:rPr>
          <w:rFonts w:ascii="Arial" w:hAnsi="Arial" w:cs="Arial"/>
          <w:bCs/>
          <w:sz w:val="20"/>
          <w:szCs w:val="20"/>
        </w:rPr>
        <w:t xml:space="preserve">, </w:t>
      </w:r>
      <w:r w:rsidR="008C364B">
        <w:rPr>
          <w:rFonts w:ascii="Arial" w:hAnsi="Arial" w:cs="Arial"/>
          <w:bCs/>
          <w:sz w:val="20"/>
          <w:szCs w:val="20"/>
        </w:rPr>
        <w:t>April</w:t>
      </w:r>
      <w:r w:rsidR="00FF5DD2" w:rsidRPr="00CA510E">
        <w:rPr>
          <w:rFonts w:ascii="Arial" w:hAnsi="Arial" w:cs="Arial"/>
          <w:bCs/>
          <w:sz w:val="20"/>
          <w:szCs w:val="20"/>
        </w:rPr>
        <w:t xml:space="preserve"> </w:t>
      </w:r>
      <w:r w:rsidR="00147038">
        <w:rPr>
          <w:rFonts w:ascii="Arial" w:hAnsi="Arial" w:cs="Arial"/>
          <w:bCs/>
          <w:sz w:val="20"/>
          <w:szCs w:val="20"/>
        </w:rPr>
        <w:t>7</w:t>
      </w:r>
      <w:r w:rsidR="00FF5DD2" w:rsidRPr="00CA510E">
        <w:rPr>
          <w:rFonts w:ascii="Arial" w:hAnsi="Arial" w:cs="Arial"/>
          <w:bCs/>
          <w:sz w:val="20"/>
          <w:szCs w:val="20"/>
          <w:vertAlign w:val="superscript"/>
        </w:rPr>
        <w:t>th</w:t>
      </w:r>
      <w:r w:rsidR="00FF5DD2" w:rsidRPr="00CA510E">
        <w:rPr>
          <w:rFonts w:ascii="Arial" w:hAnsi="Arial" w:cs="Arial"/>
          <w:bCs/>
          <w:sz w:val="20"/>
          <w:szCs w:val="20"/>
        </w:rPr>
        <w:t xml:space="preserve"> – </w:t>
      </w:r>
      <w:r w:rsidR="008C364B">
        <w:rPr>
          <w:rFonts w:ascii="Arial" w:hAnsi="Arial" w:cs="Arial"/>
          <w:bCs/>
          <w:sz w:val="20"/>
          <w:szCs w:val="20"/>
        </w:rPr>
        <w:t>1</w:t>
      </w:r>
      <w:r w:rsidR="00147038">
        <w:rPr>
          <w:rFonts w:ascii="Arial" w:hAnsi="Arial" w:cs="Arial"/>
          <w:bCs/>
          <w:sz w:val="20"/>
          <w:szCs w:val="20"/>
        </w:rPr>
        <w:t>1</w:t>
      </w:r>
      <w:r w:rsidR="008C364B">
        <w:rPr>
          <w:rFonts w:ascii="Arial" w:hAnsi="Arial" w:cs="Arial"/>
          <w:bCs/>
          <w:sz w:val="20"/>
          <w:szCs w:val="20"/>
          <w:vertAlign w:val="superscript"/>
        </w:rPr>
        <w:t>th</w:t>
      </w:r>
      <w:r w:rsidR="00FF5DD2" w:rsidRPr="00CA510E">
        <w:rPr>
          <w:rFonts w:ascii="Arial" w:hAnsi="Arial" w:cs="Arial"/>
          <w:bCs/>
          <w:sz w:val="20"/>
          <w:szCs w:val="20"/>
        </w:rPr>
        <w:t>, 202</w:t>
      </w:r>
      <w:r w:rsidR="00147038">
        <w:rPr>
          <w:rFonts w:ascii="Arial" w:hAnsi="Arial" w:cs="Arial"/>
          <w:bCs/>
          <w:sz w:val="20"/>
          <w:szCs w:val="20"/>
        </w:rPr>
        <w:t>5</w:t>
      </w:r>
    </w:p>
    <w:p w14:paraId="73B41880" w14:textId="77777777" w:rsidR="00F46E48" w:rsidRDefault="00D76853" w:rsidP="00D340F4">
      <w:pPr>
        <w:pStyle w:val="EX"/>
        <w:spacing w:after="180"/>
        <w:ind w:left="374" w:hanging="374"/>
        <w:jc w:val="both"/>
        <w:rPr>
          <w:rFonts w:ascii="Arial" w:hAnsi="Arial" w:cs="Arial"/>
          <w:bCs/>
          <w:sz w:val="20"/>
          <w:szCs w:val="20"/>
        </w:rPr>
      </w:pPr>
      <w:r>
        <w:rPr>
          <w:rFonts w:ascii="Arial" w:hAnsi="Arial" w:cs="Arial"/>
          <w:bCs/>
          <w:sz w:val="20"/>
          <w:szCs w:val="20"/>
        </w:rPr>
        <w:t>R4-2417763 “</w:t>
      </w:r>
      <w:r w:rsidRPr="00D76853">
        <w:rPr>
          <w:rFonts w:ascii="Arial" w:hAnsi="Arial" w:cs="Arial"/>
          <w:bCs/>
          <w:sz w:val="20"/>
          <w:szCs w:val="20"/>
        </w:rPr>
        <w:t>On PC1.5 intra-band non-contiguous UL CA MPR</w:t>
      </w:r>
      <w:r w:rsidR="00F46E48">
        <w:rPr>
          <w:rFonts w:ascii="Arial" w:hAnsi="Arial" w:cs="Arial"/>
          <w:bCs/>
          <w:sz w:val="20"/>
          <w:szCs w:val="20"/>
        </w:rPr>
        <w:t>”</w:t>
      </w:r>
      <w:r>
        <w:rPr>
          <w:rFonts w:ascii="Arial" w:hAnsi="Arial" w:cs="Arial"/>
          <w:bCs/>
          <w:sz w:val="20"/>
          <w:szCs w:val="20"/>
        </w:rPr>
        <w:t>, Apple,</w:t>
      </w:r>
      <w:r w:rsidR="00F46E48">
        <w:rPr>
          <w:rFonts w:ascii="Arial" w:hAnsi="Arial" w:cs="Arial"/>
          <w:bCs/>
          <w:sz w:val="20"/>
          <w:szCs w:val="20"/>
        </w:rPr>
        <w:t xml:space="preserve"> </w:t>
      </w:r>
      <w:r w:rsidR="00F46E48" w:rsidRPr="00CA510E">
        <w:rPr>
          <w:rFonts w:ascii="Arial" w:hAnsi="Arial" w:cs="Arial"/>
          <w:bCs/>
          <w:sz w:val="20"/>
          <w:szCs w:val="20"/>
        </w:rPr>
        <w:t>3GPP TSG RAN WG4 Meeting #11</w:t>
      </w:r>
      <w:r w:rsidR="00F46E48">
        <w:rPr>
          <w:rFonts w:ascii="Arial" w:hAnsi="Arial" w:cs="Arial"/>
          <w:bCs/>
          <w:sz w:val="20"/>
          <w:szCs w:val="20"/>
        </w:rPr>
        <w:t>3</w:t>
      </w:r>
      <w:r w:rsidR="00F46E48" w:rsidRPr="00CA510E">
        <w:rPr>
          <w:rFonts w:ascii="Arial" w:hAnsi="Arial" w:cs="Arial"/>
          <w:bCs/>
          <w:sz w:val="20"/>
          <w:szCs w:val="20"/>
        </w:rPr>
        <w:t xml:space="preserve">, </w:t>
      </w:r>
      <w:r w:rsidR="00F46E48">
        <w:rPr>
          <w:rFonts w:ascii="Arial" w:hAnsi="Arial" w:cs="Arial"/>
          <w:bCs/>
          <w:sz w:val="20"/>
          <w:szCs w:val="20"/>
        </w:rPr>
        <w:t>Orlando</w:t>
      </w:r>
      <w:r w:rsidR="00F46E48" w:rsidRPr="00CA510E">
        <w:rPr>
          <w:rFonts w:ascii="Arial" w:hAnsi="Arial" w:cs="Arial"/>
          <w:bCs/>
          <w:sz w:val="20"/>
          <w:szCs w:val="20"/>
        </w:rPr>
        <w:t xml:space="preserve">, </w:t>
      </w:r>
      <w:r w:rsidR="00F46E48">
        <w:rPr>
          <w:rFonts w:ascii="Arial" w:hAnsi="Arial" w:cs="Arial"/>
          <w:bCs/>
          <w:sz w:val="20"/>
          <w:szCs w:val="20"/>
        </w:rPr>
        <w:t>USA</w:t>
      </w:r>
      <w:r w:rsidR="00F46E48" w:rsidRPr="00CA510E">
        <w:rPr>
          <w:rFonts w:ascii="Arial" w:hAnsi="Arial" w:cs="Arial"/>
          <w:bCs/>
          <w:sz w:val="20"/>
          <w:szCs w:val="20"/>
        </w:rPr>
        <w:t xml:space="preserve">, </w:t>
      </w:r>
      <w:r w:rsidR="00F46E48">
        <w:rPr>
          <w:rFonts w:ascii="Arial" w:hAnsi="Arial" w:cs="Arial"/>
          <w:bCs/>
          <w:sz w:val="20"/>
          <w:szCs w:val="20"/>
        </w:rPr>
        <w:t>November</w:t>
      </w:r>
      <w:r w:rsidR="00F46E48" w:rsidRPr="00CA510E">
        <w:rPr>
          <w:rFonts w:ascii="Arial" w:hAnsi="Arial" w:cs="Arial"/>
          <w:bCs/>
          <w:sz w:val="20"/>
          <w:szCs w:val="20"/>
        </w:rPr>
        <w:t xml:space="preserve"> </w:t>
      </w:r>
      <w:r w:rsidR="00F46E48">
        <w:rPr>
          <w:rFonts w:ascii="Arial" w:hAnsi="Arial" w:cs="Arial"/>
          <w:bCs/>
          <w:sz w:val="20"/>
          <w:szCs w:val="20"/>
        </w:rPr>
        <w:t>18</w:t>
      </w:r>
      <w:r w:rsidR="00F46E48" w:rsidRPr="00CA510E">
        <w:rPr>
          <w:rFonts w:ascii="Arial" w:hAnsi="Arial" w:cs="Arial"/>
          <w:bCs/>
          <w:sz w:val="20"/>
          <w:szCs w:val="20"/>
          <w:vertAlign w:val="superscript"/>
        </w:rPr>
        <w:t>th</w:t>
      </w:r>
      <w:r w:rsidR="00F46E48" w:rsidRPr="00CA510E">
        <w:rPr>
          <w:rFonts w:ascii="Arial" w:hAnsi="Arial" w:cs="Arial"/>
          <w:bCs/>
          <w:sz w:val="20"/>
          <w:szCs w:val="20"/>
        </w:rPr>
        <w:t xml:space="preserve"> – </w:t>
      </w:r>
      <w:r w:rsidR="00F46E48">
        <w:rPr>
          <w:rFonts w:ascii="Arial" w:hAnsi="Arial" w:cs="Arial"/>
          <w:bCs/>
          <w:sz w:val="20"/>
          <w:szCs w:val="20"/>
        </w:rPr>
        <w:t>22</w:t>
      </w:r>
      <w:r w:rsidR="00F46E48">
        <w:rPr>
          <w:rFonts w:ascii="Arial" w:hAnsi="Arial" w:cs="Arial"/>
          <w:bCs/>
          <w:sz w:val="20"/>
          <w:szCs w:val="20"/>
          <w:vertAlign w:val="superscript"/>
        </w:rPr>
        <w:t>nd</w:t>
      </w:r>
      <w:r w:rsidR="00F46E48" w:rsidRPr="00CA510E">
        <w:rPr>
          <w:rFonts w:ascii="Arial" w:hAnsi="Arial" w:cs="Arial"/>
          <w:bCs/>
          <w:sz w:val="20"/>
          <w:szCs w:val="20"/>
        </w:rPr>
        <w:t>, 202</w:t>
      </w:r>
      <w:r w:rsidR="00F46E48">
        <w:rPr>
          <w:rFonts w:ascii="Arial" w:hAnsi="Arial" w:cs="Arial"/>
          <w:bCs/>
          <w:sz w:val="20"/>
          <w:szCs w:val="20"/>
        </w:rPr>
        <w:t>4</w:t>
      </w:r>
    </w:p>
    <w:p w14:paraId="6B45D8A2" w14:textId="22A527FD" w:rsidR="00C57E50" w:rsidRDefault="00FD4920" w:rsidP="00112B6A">
      <w:pPr>
        <w:pStyle w:val="EX"/>
        <w:spacing w:after="180"/>
        <w:ind w:left="374" w:hanging="374"/>
        <w:jc w:val="both"/>
        <w:rPr>
          <w:rFonts w:ascii="Arial" w:hAnsi="Arial" w:cs="Arial"/>
          <w:sz w:val="20"/>
          <w:szCs w:val="20"/>
        </w:rPr>
      </w:pPr>
      <w:r w:rsidRPr="00FD4920">
        <w:rPr>
          <w:rFonts w:ascii="Arial" w:hAnsi="Arial" w:cs="Arial"/>
          <w:sz w:val="20"/>
          <w:szCs w:val="20"/>
        </w:rPr>
        <w:t>3GPP TS 38.101-1 V1</w:t>
      </w:r>
      <w:r w:rsidR="00ED5F7C">
        <w:rPr>
          <w:rFonts w:ascii="Arial" w:hAnsi="Arial" w:cs="Arial"/>
          <w:sz w:val="20"/>
          <w:szCs w:val="20"/>
        </w:rPr>
        <w:t>9</w:t>
      </w:r>
      <w:r w:rsidRPr="00FD4920">
        <w:rPr>
          <w:rFonts w:ascii="Arial" w:hAnsi="Arial" w:cs="Arial"/>
          <w:sz w:val="20"/>
          <w:szCs w:val="20"/>
        </w:rPr>
        <w:t>.</w:t>
      </w:r>
      <w:r w:rsidR="005D25E0">
        <w:rPr>
          <w:rFonts w:ascii="Arial" w:hAnsi="Arial" w:cs="Arial"/>
          <w:sz w:val="20"/>
          <w:szCs w:val="20"/>
        </w:rPr>
        <w:t>1</w:t>
      </w:r>
      <w:r w:rsidRPr="00FD4920">
        <w:rPr>
          <w:rFonts w:ascii="Arial" w:hAnsi="Arial" w:cs="Arial"/>
          <w:sz w:val="20"/>
          <w:szCs w:val="20"/>
        </w:rPr>
        <w:t>.0 (202</w:t>
      </w:r>
      <w:r w:rsidR="005D25E0">
        <w:rPr>
          <w:rFonts w:ascii="Arial" w:hAnsi="Arial" w:cs="Arial"/>
          <w:sz w:val="20"/>
          <w:szCs w:val="20"/>
        </w:rPr>
        <w:t>5</w:t>
      </w:r>
      <w:r w:rsidRPr="00FD4920">
        <w:rPr>
          <w:rFonts w:ascii="Arial" w:hAnsi="Arial" w:cs="Arial"/>
          <w:sz w:val="20"/>
          <w:szCs w:val="20"/>
        </w:rPr>
        <w:t>-</w:t>
      </w:r>
      <w:r w:rsidR="005D25E0">
        <w:rPr>
          <w:rFonts w:ascii="Arial" w:hAnsi="Arial" w:cs="Arial"/>
          <w:sz w:val="20"/>
          <w:szCs w:val="20"/>
        </w:rPr>
        <w:t>03</w:t>
      </w:r>
      <w:r w:rsidRPr="00FD4920">
        <w:rPr>
          <w:rFonts w:ascii="Arial" w:hAnsi="Arial" w:cs="Arial"/>
          <w:sz w:val="20"/>
          <w:szCs w:val="20"/>
        </w:rPr>
        <w:t>)</w:t>
      </w:r>
    </w:p>
    <w:p w14:paraId="01F3AB1F" w14:textId="6476B361" w:rsidR="00F46E48" w:rsidRPr="00FD1D6F" w:rsidRDefault="00F06B92" w:rsidP="00FD1D6F">
      <w:pPr>
        <w:pStyle w:val="EX"/>
        <w:spacing w:after="180"/>
        <w:ind w:left="374" w:hanging="374"/>
        <w:jc w:val="both"/>
        <w:rPr>
          <w:rFonts w:ascii="Arial" w:hAnsi="Arial" w:cs="Arial"/>
          <w:sz w:val="20"/>
          <w:szCs w:val="20"/>
        </w:rPr>
      </w:pPr>
      <w:r>
        <w:rPr>
          <w:rFonts w:ascii="Arial" w:hAnsi="Arial" w:cs="Arial"/>
          <w:sz w:val="20"/>
          <w:szCs w:val="20"/>
        </w:rPr>
        <w:t>R4-2114948 “</w:t>
      </w:r>
      <w:r w:rsidRPr="00F06B92">
        <w:rPr>
          <w:rFonts w:ascii="Arial" w:hAnsi="Arial" w:cs="Arial"/>
          <w:sz w:val="20"/>
          <w:szCs w:val="20"/>
        </w:rPr>
        <w:t>WF on PC2 intra-band UL NC CA and contiguous CA with 2Tx architecture</w:t>
      </w:r>
      <w:r>
        <w:rPr>
          <w:rFonts w:ascii="Arial" w:hAnsi="Arial" w:cs="Arial"/>
          <w:sz w:val="20"/>
          <w:szCs w:val="20"/>
        </w:rPr>
        <w:t xml:space="preserve">”, Skyworks Solutions Inc., </w:t>
      </w:r>
      <w:r w:rsidRPr="00F06B92">
        <w:rPr>
          <w:rFonts w:ascii="Arial" w:hAnsi="Arial" w:cs="Arial"/>
          <w:sz w:val="20"/>
          <w:szCs w:val="20"/>
        </w:rPr>
        <w:t>3GPP TSG-RAN WG4 Meeting #100e</w:t>
      </w:r>
      <w:r>
        <w:rPr>
          <w:rFonts w:ascii="Arial" w:hAnsi="Arial" w:cs="Arial"/>
          <w:sz w:val="20"/>
          <w:szCs w:val="20"/>
        </w:rPr>
        <w:t>, online, August 16</w:t>
      </w:r>
      <w:r w:rsidRPr="00F06B92">
        <w:rPr>
          <w:rFonts w:ascii="Arial" w:hAnsi="Arial" w:cs="Arial"/>
          <w:sz w:val="20"/>
          <w:szCs w:val="20"/>
          <w:vertAlign w:val="superscript"/>
        </w:rPr>
        <w:t>th</w:t>
      </w:r>
      <w:r>
        <w:rPr>
          <w:rFonts w:ascii="Arial" w:hAnsi="Arial" w:cs="Arial"/>
          <w:sz w:val="20"/>
          <w:szCs w:val="20"/>
        </w:rPr>
        <w:t xml:space="preserve"> – 27</w:t>
      </w:r>
      <w:r w:rsidRPr="00F06B92">
        <w:rPr>
          <w:rFonts w:ascii="Arial" w:hAnsi="Arial" w:cs="Arial"/>
          <w:sz w:val="20"/>
          <w:szCs w:val="20"/>
          <w:vertAlign w:val="superscript"/>
        </w:rPr>
        <w:t>th</w:t>
      </w:r>
      <w:r>
        <w:rPr>
          <w:rFonts w:ascii="Arial" w:hAnsi="Arial" w:cs="Arial"/>
          <w:sz w:val="20"/>
          <w:szCs w:val="20"/>
        </w:rPr>
        <w:t>, 2021</w:t>
      </w:r>
    </w:p>
    <w:sectPr w:rsidR="00F46E48" w:rsidRPr="00FD1D6F" w:rsidSect="00D975F5">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386B3" w14:textId="77777777" w:rsidR="00E75A31" w:rsidRDefault="00E75A31">
      <w:r>
        <w:separator/>
      </w:r>
    </w:p>
  </w:endnote>
  <w:endnote w:type="continuationSeparator" w:id="0">
    <w:p w14:paraId="616E5B84" w14:textId="77777777" w:rsidR="00E75A31" w:rsidRDefault="00E7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18F09" w14:textId="77777777" w:rsidR="00E75A31" w:rsidRDefault="00E75A31">
      <w:r>
        <w:separator/>
      </w:r>
    </w:p>
  </w:footnote>
  <w:footnote w:type="continuationSeparator" w:id="0">
    <w:p w14:paraId="4B36F40B" w14:textId="77777777" w:rsidR="00E75A31" w:rsidRDefault="00E7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25FE1"/>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5E"/>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5C3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634C"/>
    <w:rsid w:val="000C71D9"/>
    <w:rsid w:val="000D0571"/>
    <w:rsid w:val="000D0FD8"/>
    <w:rsid w:val="000D1DD8"/>
    <w:rsid w:val="000D2743"/>
    <w:rsid w:val="000D50E3"/>
    <w:rsid w:val="000D58AB"/>
    <w:rsid w:val="000D6A52"/>
    <w:rsid w:val="000D6C55"/>
    <w:rsid w:val="000D7301"/>
    <w:rsid w:val="000E068F"/>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4DC"/>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38"/>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2D83"/>
    <w:rsid w:val="0017381F"/>
    <w:rsid w:val="0017591E"/>
    <w:rsid w:val="00175D32"/>
    <w:rsid w:val="0017606D"/>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0BD"/>
    <w:rsid w:val="001B7371"/>
    <w:rsid w:val="001B7504"/>
    <w:rsid w:val="001C21C3"/>
    <w:rsid w:val="001C62F8"/>
    <w:rsid w:val="001C65A6"/>
    <w:rsid w:val="001D02C2"/>
    <w:rsid w:val="001D1470"/>
    <w:rsid w:val="001D2A82"/>
    <w:rsid w:val="001D5CFB"/>
    <w:rsid w:val="001E08B8"/>
    <w:rsid w:val="001E145D"/>
    <w:rsid w:val="001E296F"/>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5DFB"/>
    <w:rsid w:val="00247926"/>
    <w:rsid w:val="002504F0"/>
    <w:rsid w:val="00250896"/>
    <w:rsid w:val="00256995"/>
    <w:rsid w:val="00257410"/>
    <w:rsid w:val="002608DE"/>
    <w:rsid w:val="00261B7C"/>
    <w:rsid w:val="002627B4"/>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361F"/>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4641B"/>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10C5"/>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04E3"/>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08E1"/>
    <w:rsid w:val="00493A70"/>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DB3"/>
    <w:rsid w:val="00505504"/>
    <w:rsid w:val="00506C9D"/>
    <w:rsid w:val="00510297"/>
    <w:rsid w:val="0051276C"/>
    <w:rsid w:val="00512E97"/>
    <w:rsid w:val="00513CF2"/>
    <w:rsid w:val="005152B9"/>
    <w:rsid w:val="005171D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367FA"/>
    <w:rsid w:val="0054046B"/>
    <w:rsid w:val="00541809"/>
    <w:rsid w:val="00543E6C"/>
    <w:rsid w:val="00545F02"/>
    <w:rsid w:val="0055291B"/>
    <w:rsid w:val="00556D61"/>
    <w:rsid w:val="00560892"/>
    <w:rsid w:val="00563714"/>
    <w:rsid w:val="00565087"/>
    <w:rsid w:val="00565648"/>
    <w:rsid w:val="00567534"/>
    <w:rsid w:val="005710B2"/>
    <w:rsid w:val="00572E14"/>
    <w:rsid w:val="00572E94"/>
    <w:rsid w:val="0057381A"/>
    <w:rsid w:val="00575133"/>
    <w:rsid w:val="0057672C"/>
    <w:rsid w:val="005776DB"/>
    <w:rsid w:val="00582A04"/>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00C0"/>
    <w:rsid w:val="005B177F"/>
    <w:rsid w:val="005B1C7B"/>
    <w:rsid w:val="005B2D59"/>
    <w:rsid w:val="005B363E"/>
    <w:rsid w:val="005B3A6D"/>
    <w:rsid w:val="005B74DA"/>
    <w:rsid w:val="005C2501"/>
    <w:rsid w:val="005C25FF"/>
    <w:rsid w:val="005C43AC"/>
    <w:rsid w:val="005C7266"/>
    <w:rsid w:val="005C7420"/>
    <w:rsid w:val="005D0C87"/>
    <w:rsid w:val="005D1713"/>
    <w:rsid w:val="005D25E0"/>
    <w:rsid w:val="005D2BC8"/>
    <w:rsid w:val="005D2E01"/>
    <w:rsid w:val="005D31C3"/>
    <w:rsid w:val="005D4FFE"/>
    <w:rsid w:val="005D7526"/>
    <w:rsid w:val="005E1A8B"/>
    <w:rsid w:val="005E2982"/>
    <w:rsid w:val="005E318B"/>
    <w:rsid w:val="005E5A28"/>
    <w:rsid w:val="005E6516"/>
    <w:rsid w:val="005E66AC"/>
    <w:rsid w:val="005E69AE"/>
    <w:rsid w:val="005E7D87"/>
    <w:rsid w:val="005F23E7"/>
    <w:rsid w:val="005F28DB"/>
    <w:rsid w:val="005F381B"/>
    <w:rsid w:val="005F393C"/>
    <w:rsid w:val="005F39D5"/>
    <w:rsid w:val="005F6FDC"/>
    <w:rsid w:val="005F7052"/>
    <w:rsid w:val="005F73F0"/>
    <w:rsid w:val="00600854"/>
    <w:rsid w:val="0060129F"/>
    <w:rsid w:val="00601677"/>
    <w:rsid w:val="006024D8"/>
    <w:rsid w:val="0060286A"/>
    <w:rsid w:val="00602AEA"/>
    <w:rsid w:val="0060438D"/>
    <w:rsid w:val="00606C90"/>
    <w:rsid w:val="00606F29"/>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0D8"/>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155C"/>
    <w:rsid w:val="006758B1"/>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51"/>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023"/>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1A8"/>
    <w:rsid w:val="007F1CFA"/>
    <w:rsid w:val="007F2042"/>
    <w:rsid w:val="007F221E"/>
    <w:rsid w:val="007F3A46"/>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15AF"/>
    <w:rsid w:val="00823EC7"/>
    <w:rsid w:val="008246AB"/>
    <w:rsid w:val="0082493D"/>
    <w:rsid w:val="00825EDF"/>
    <w:rsid w:val="00830747"/>
    <w:rsid w:val="00832AA2"/>
    <w:rsid w:val="0083481A"/>
    <w:rsid w:val="0083755B"/>
    <w:rsid w:val="00840DCA"/>
    <w:rsid w:val="008454C5"/>
    <w:rsid w:val="008503FE"/>
    <w:rsid w:val="00850D6A"/>
    <w:rsid w:val="00850FBE"/>
    <w:rsid w:val="00851681"/>
    <w:rsid w:val="0085227D"/>
    <w:rsid w:val="00852D30"/>
    <w:rsid w:val="00854543"/>
    <w:rsid w:val="00854C13"/>
    <w:rsid w:val="00854D4C"/>
    <w:rsid w:val="0085666A"/>
    <w:rsid w:val="00856EF6"/>
    <w:rsid w:val="008632DF"/>
    <w:rsid w:val="00863A8A"/>
    <w:rsid w:val="00864ED2"/>
    <w:rsid w:val="008677DA"/>
    <w:rsid w:val="00870BCC"/>
    <w:rsid w:val="00870EB0"/>
    <w:rsid w:val="008731E6"/>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64B"/>
    <w:rsid w:val="008C384C"/>
    <w:rsid w:val="008C385C"/>
    <w:rsid w:val="008C494B"/>
    <w:rsid w:val="008C5916"/>
    <w:rsid w:val="008C5A52"/>
    <w:rsid w:val="008C64E3"/>
    <w:rsid w:val="008C6B21"/>
    <w:rsid w:val="008C6C35"/>
    <w:rsid w:val="008D0A3B"/>
    <w:rsid w:val="008D4262"/>
    <w:rsid w:val="008D4F18"/>
    <w:rsid w:val="008D5304"/>
    <w:rsid w:val="008D55A3"/>
    <w:rsid w:val="008D7038"/>
    <w:rsid w:val="008D74FE"/>
    <w:rsid w:val="008D7883"/>
    <w:rsid w:val="008D7C1F"/>
    <w:rsid w:val="008E2413"/>
    <w:rsid w:val="008E290E"/>
    <w:rsid w:val="008E75A4"/>
    <w:rsid w:val="008E7986"/>
    <w:rsid w:val="008E7B99"/>
    <w:rsid w:val="008F0C7D"/>
    <w:rsid w:val="008F29A8"/>
    <w:rsid w:val="008F3A32"/>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2B3"/>
    <w:rsid w:val="00966562"/>
    <w:rsid w:val="00966D29"/>
    <w:rsid w:val="009675A5"/>
    <w:rsid w:val="00971777"/>
    <w:rsid w:val="00972C7E"/>
    <w:rsid w:val="009733BF"/>
    <w:rsid w:val="009751F6"/>
    <w:rsid w:val="0097550C"/>
    <w:rsid w:val="00976330"/>
    <w:rsid w:val="00977A20"/>
    <w:rsid w:val="00980B75"/>
    <w:rsid w:val="00980D27"/>
    <w:rsid w:val="00981E36"/>
    <w:rsid w:val="009825B5"/>
    <w:rsid w:val="00982A84"/>
    <w:rsid w:val="0098313D"/>
    <w:rsid w:val="00983928"/>
    <w:rsid w:val="0098396D"/>
    <w:rsid w:val="00987E57"/>
    <w:rsid w:val="009902B8"/>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806"/>
    <w:rsid w:val="009E7DA3"/>
    <w:rsid w:val="009F37B7"/>
    <w:rsid w:val="009F5433"/>
    <w:rsid w:val="009F5E43"/>
    <w:rsid w:val="009F7BE1"/>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46123"/>
    <w:rsid w:val="00A517B0"/>
    <w:rsid w:val="00A51810"/>
    <w:rsid w:val="00A52486"/>
    <w:rsid w:val="00A53724"/>
    <w:rsid w:val="00A542F7"/>
    <w:rsid w:val="00A5609E"/>
    <w:rsid w:val="00A61680"/>
    <w:rsid w:val="00A625A6"/>
    <w:rsid w:val="00A64157"/>
    <w:rsid w:val="00A64488"/>
    <w:rsid w:val="00A649E7"/>
    <w:rsid w:val="00A658B9"/>
    <w:rsid w:val="00A6626A"/>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1F0A"/>
    <w:rsid w:val="00AA3D5D"/>
    <w:rsid w:val="00AA445C"/>
    <w:rsid w:val="00AA537C"/>
    <w:rsid w:val="00AA54E5"/>
    <w:rsid w:val="00AA5567"/>
    <w:rsid w:val="00AA5A3D"/>
    <w:rsid w:val="00AB1619"/>
    <w:rsid w:val="00AB1C8F"/>
    <w:rsid w:val="00AB4B1B"/>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5BC4"/>
    <w:rsid w:val="00B27D0B"/>
    <w:rsid w:val="00B31CAA"/>
    <w:rsid w:val="00B3227E"/>
    <w:rsid w:val="00B3241C"/>
    <w:rsid w:val="00B34C43"/>
    <w:rsid w:val="00B35505"/>
    <w:rsid w:val="00B3617F"/>
    <w:rsid w:val="00B36A7D"/>
    <w:rsid w:val="00B37188"/>
    <w:rsid w:val="00B37C70"/>
    <w:rsid w:val="00B4292E"/>
    <w:rsid w:val="00B44F81"/>
    <w:rsid w:val="00B45F97"/>
    <w:rsid w:val="00B471EA"/>
    <w:rsid w:val="00B50264"/>
    <w:rsid w:val="00B504F7"/>
    <w:rsid w:val="00B5178A"/>
    <w:rsid w:val="00B51CDC"/>
    <w:rsid w:val="00B52C27"/>
    <w:rsid w:val="00B5302C"/>
    <w:rsid w:val="00B55583"/>
    <w:rsid w:val="00B56C27"/>
    <w:rsid w:val="00B6070A"/>
    <w:rsid w:val="00B646A5"/>
    <w:rsid w:val="00B65A49"/>
    <w:rsid w:val="00B66B95"/>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7CF"/>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582A"/>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474"/>
    <w:rsid w:val="00CB69DE"/>
    <w:rsid w:val="00CB7AD0"/>
    <w:rsid w:val="00CC0B80"/>
    <w:rsid w:val="00CC1BA0"/>
    <w:rsid w:val="00CC3116"/>
    <w:rsid w:val="00CC3947"/>
    <w:rsid w:val="00CC3FFD"/>
    <w:rsid w:val="00CC5BE3"/>
    <w:rsid w:val="00CD15E7"/>
    <w:rsid w:val="00CD1AAF"/>
    <w:rsid w:val="00CD398D"/>
    <w:rsid w:val="00CD561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40F4"/>
    <w:rsid w:val="00D35FEF"/>
    <w:rsid w:val="00D4156E"/>
    <w:rsid w:val="00D41D01"/>
    <w:rsid w:val="00D438FA"/>
    <w:rsid w:val="00D4587A"/>
    <w:rsid w:val="00D463D6"/>
    <w:rsid w:val="00D46431"/>
    <w:rsid w:val="00D46607"/>
    <w:rsid w:val="00D47831"/>
    <w:rsid w:val="00D51087"/>
    <w:rsid w:val="00D555DA"/>
    <w:rsid w:val="00D56A52"/>
    <w:rsid w:val="00D57972"/>
    <w:rsid w:val="00D603CA"/>
    <w:rsid w:val="00D62743"/>
    <w:rsid w:val="00D63135"/>
    <w:rsid w:val="00D63F11"/>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6853"/>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7F"/>
    <w:rsid w:val="00D975F5"/>
    <w:rsid w:val="00D97761"/>
    <w:rsid w:val="00D97CE6"/>
    <w:rsid w:val="00DA0AEE"/>
    <w:rsid w:val="00DA11C8"/>
    <w:rsid w:val="00DA3B10"/>
    <w:rsid w:val="00DA3C0D"/>
    <w:rsid w:val="00DA4E3C"/>
    <w:rsid w:val="00DA7A03"/>
    <w:rsid w:val="00DB06CF"/>
    <w:rsid w:val="00DB0BC8"/>
    <w:rsid w:val="00DB1818"/>
    <w:rsid w:val="00DB26B1"/>
    <w:rsid w:val="00DB4052"/>
    <w:rsid w:val="00DB5DA1"/>
    <w:rsid w:val="00DB76DB"/>
    <w:rsid w:val="00DB79F7"/>
    <w:rsid w:val="00DB7C12"/>
    <w:rsid w:val="00DC003B"/>
    <w:rsid w:val="00DC2027"/>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6394"/>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5A31"/>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5F7C"/>
    <w:rsid w:val="00ED6851"/>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B92"/>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9E0"/>
    <w:rsid w:val="00F35A8C"/>
    <w:rsid w:val="00F35E69"/>
    <w:rsid w:val="00F4310F"/>
    <w:rsid w:val="00F46E48"/>
    <w:rsid w:val="00F479BC"/>
    <w:rsid w:val="00F47A34"/>
    <w:rsid w:val="00F50C77"/>
    <w:rsid w:val="00F54BE6"/>
    <w:rsid w:val="00F55C49"/>
    <w:rsid w:val="00F55F74"/>
    <w:rsid w:val="00F565B6"/>
    <w:rsid w:val="00F62AEB"/>
    <w:rsid w:val="00F63525"/>
    <w:rsid w:val="00F644CD"/>
    <w:rsid w:val="00F653B8"/>
    <w:rsid w:val="00F662C2"/>
    <w:rsid w:val="00F70647"/>
    <w:rsid w:val="00F70773"/>
    <w:rsid w:val="00F7167D"/>
    <w:rsid w:val="00F71C69"/>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97C6D"/>
    <w:rsid w:val="00FA08E1"/>
    <w:rsid w:val="00FA09D0"/>
    <w:rsid w:val="00FA1266"/>
    <w:rsid w:val="00FA29A4"/>
    <w:rsid w:val="00FA3A4C"/>
    <w:rsid w:val="00FB03DC"/>
    <w:rsid w:val="00FB133A"/>
    <w:rsid w:val="00FB50B5"/>
    <w:rsid w:val="00FB586F"/>
    <w:rsid w:val="00FB59CE"/>
    <w:rsid w:val="00FB645D"/>
    <w:rsid w:val="00FB68F3"/>
    <w:rsid w:val="00FB6A3D"/>
    <w:rsid w:val="00FB713D"/>
    <w:rsid w:val="00FB7308"/>
    <w:rsid w:val="00FC1192"/>
    <w:rsid w:val="00FC43F3"/>
    <w:rsid w:val="00FC5FC2"/>
    <w:rsid w:val="00FC60A7"/>
    <w:rsid w:val="00FC7411"/>
    <w:rsid w:val="00FD1D6F"/>
    <w:rsid w:val="00FD2950"/>
    <w:rsid w:val="00FD3579"/>
    <w:rsid w:val="00FD432B"/>
    <w:rsid w:val="00FD4920"/>
    <w:rsid w:val="00FD63FE"/>
    <w:rsid w:val="00FD6763"/>
    <w:rsid w:val="00FD67F0"/>
    <w:rsid w:val="00FD72EF"/>
    <w:rsid w:val="00FE14B1"/>
    <w:rsid w:val="00FE3F7B"/>
    <w:rsid w:val="00FE4C2D"/>
    <w:rsid w:val="00FE7684"/>
    <w:rsid w:val="00FF12D1"/>
    <w:rsid w:val="00FF135C"/>
    <w:rsid w:val="00FF187D"/>
    <w:rsid w:val="00FF2138"/>
    <w:rsid w:val="00FF27B3"/>
    <w:rsid w:val="00FF5DD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1142</Words>
  <Characters>6513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2025-05-08T17:25:00Z</dcterms:created>
  <dcterms:modified xsi:type="dcterms:W3CDTF">2025-05-09T17:01:00Z</dcterms:modified>
  <cp:category/>
</cp:coreProperties>
</file>